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Pr="00274F9A" w:rsidRDefault="002F2A59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274F9A">
        <w:rPr>
          <w:rFonts w:ascii="GHEA Grapalat" w:hAnsi="GHEA Grapalat" w:cs="Sylfaen"/>
          <w:sz w:val="24"/>
          <w:szCs w:val="24"/>
        </w:rPr>
        <w:t>Հայստանի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proofErr w:type="gramEnd"/>
      <w:r w:rsidRPr="00274F9A">
        <w:rPr>
          <w:rFonts w:ascii="GHEA Grapalat" w:hAnsi="GHEA Grapalat"/>
          <w:sz w:val="24"/>
          <w:szCs w:val="24"/>
        </w:rPr>
        <w:t xml:space="preserve"> 2014-2016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թթ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Pr="00274F9A">
        <w:rPr>
          <w:rFonts w:ascii="GHEA Grapalat" w:hAnsi="GHEA Grapalat" w:cs="Sylfaen"/>
          <w:sz w:val="24"/>
          <w:szCs w:val="24"/>
        </w:rPr>
        <w:t>պետական</w:t>
      </w:r>
      <w:proofErr w:type="spellEnd"/>
      <w:proofErr w:type="gramEnd"/>
      <w:r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բյուջեների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274F9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74F9A">
        <w:rPr>
          <w:rFonts w:ascii="GHEA Grapalat" w:hAnsi="GHEA Grapalat" w:cs="Sylfaen"/>
          <w:sz w:val="24"/>
          <w:szCs w:val="24"/>
        </w:rPr>
        <w:t>հունվար</w:t>
      </w:r>
      <w:r w:rsidRPr="00274F9A">
        <w:rPr>
          <w:rFonts w:ascii="GHEA Grapalat" w:hAnsi="GHEA Grapalat"/>
          <w:sz w:val="24"/>
          <w:szCs w:val="24"/>
        </w:rPr>
        <w:t>-</w:t>
      </w:r>
      <w:r w:rsidRPr="00274F9A">
        <w:rPr>
          <w:rFonts w:ascii="GHEA Grapalat" w:hAnsi="GHEA Grapalat" w:cs="Sylfaen"/>
          <w:sz w:val="24"/>
          <w:szCs w:val="24"/>
        </w:rPr>
        <w:t>սեպտեմբեր</w:t>
      </w:r>
      <w:proofErr w:type="spellEnd"/>
      <w:r w:rsidRPr="00274F9A">
        <w:rPr>
          <w:rFonts w:ascii="GHEA Grapalat" w:hAnsi="GHEA Grapalat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  <w:proofErr w:type="spellEnd"/>
    </w:p>
    <w:p w:rsidR="005B1A4E" w:rsidRDefault="005B1A4E" w:rsidP="005B1A4E">
      <w:pPr>
        <w:ind w:left="-360" w:firstLine="360"/>
        <w:jc w:val="both"/>
        <w:rPr>
          <w:rFonts w:ascii="GHEA Grapalat" w:hAnsi="GHEA Grapalat"/>
          <w:b/>
          <w:sz w:val="24"/>
          <w:szCs w:val="24"/>
        </w:rPr>
      </w:pPr>
      <w:r w:rsidRPr="005B1A4E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4716852" cy="2813853"/>
            <wp:effectExtent l="19050" t="0" r="26598" b="5547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A5AC2" w:rsidRPr="008A5AC2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4661391" cy="2815758"/>
            <wp:effectExtent l="19050" t="0" r="24909" b="3642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1A4E" w:rsidRDefault="00E7138C" w:rsidP="00E7138C">
      <w:pPr>
        <w:ind w:left="-360" w:firstLine="360"/>
        <w:jc w:val="both"/>
        <w:rPr>
          <w:rFonts w:ascii="GHEA Grapalat" w:hAnsi="GHEA Grapalat"/>
          <w:sz w:val="24"/>
          <w:szCs w:val="24"/>
        </w:rPr>
      </w:pPr>
      <w:r w:rsidRPr="00E7138C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4716696" cy="2743200"/>
            <wp:effectExtent l="19050" t="0" r="26754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A61EA" w:rsidRPr="006A61E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61391" cy="2743200"/>
            <wp:effectExtent l="19050" t="0" r="24909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B1A4E" w:rsidSect="00455B1D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2A59"/>
    <w:rsid w:val="000675D6"/>
    <w:rsid w:val="000C120D"/>
    <w:rsid w:val="00274F9A"/>
    <w:rsid w:val="002F2A59"/>
    <w:rsid w:val="00455B1D"/>
    <w:rsid w:val="004B3A6B"/>
    <w:rsid w:val="005B1A4E"/>
    <w:rsid w:val="00697E19"/>
    <w:rsid w:val="006A61EA"/>
    <w:rsid w:val="007D095A"/>
    <w:rsid w:val="008A5AC2"/>
    <w:rsid w:val="00934D90"/>
    <w:rsid w:val="00A36CD4"/>
    <w:rsid w:val="00C017E6"/>
    <w:rsid w:val="00D50656"/>
    <w:rsid w:val="00DB46EB"/>
    <w:rsid w:val="00E311F1"/>
    <w:rsid w:val="00E7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grafiknerin%20kits%20doc\hunvar-septemb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grafiknerin%20kits%20doc\hunvar-septemb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grafiknerin%20kits%20doc\hunvar-septemb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Comm%20Expert2\Desktop\grafiknerin%20kits%20doc\hunvar-septemb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4"/>
  <c:chart>
    <c:plotArea>
      <c:layout>
        <c:manualLayout>
          <c:layoutTarget val="inner"/>
          <c:xMode val="edge"/>
          <c:yMode val="edge"/>
          <c:x val="0.13375240594925633"/>
          <c:y val="5.1400554097404488E-2"/>
          <c:w val="0.58241841644794357"/>
          <c:h val="0.69959098862642199"/>
        </c:manualLayout>
      </c:layout>
      <c:barChart>
        <c:barDir val="col"/>
        <c:grouping val="clustered"/>
        <c:ser>
          <c:idx val="0"/>
          <c:order val="0"/>
          <c:tx>
            <c:strRef>
              <c:f>Sheet1!$A$6</c:f>
              <c:strCache>
                <c:ptCount val="1"/>
                <c:pt idx="0">
                  <c:v>ԸՆԴԱՄԵՆԸ /մլրդ.դրամ/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(ինն ամիսների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Sheet1!$B$6:$AK$6</c:f>
              <c:numCache>
                <c:formatCode>0.0;[Red]0.0</c:formatCode>
                <c:ptCount val="2"/>
                <c:pt idx="0">
                  <c:v>859.2</c:v>
                </c:pt>
                <c:pt idx="1">
                  <c:v>836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ՀԱՐԿԱՅԻՆ ԵԿԱՄՈՒՏՆԵՐ ԵՎ ՊԵՏԱԿԱՆ ՏՈՒՐՔԵՐ  /մլրդ.դրամ/</c:v>
                </c:pt>
              </c:strCache>
            </c:strRef>
          </c:tx>
          <c:dLbls>
            <c:dLbl>
              <c:idx val="0"/>
              <c:layout>
                <c:manualLayout>
                  <c:x val="3.888888888888889E-2"/>
                  <c:y val="-1.388888888888893E-2"/>
                </c:manualLayout>
              </c:layout>
              <c:showVal val="1"/>
            </c:dLbl>
            <c:dLbl>
              <c:idx val="1"/>
              <c:layout>
                <c:manualLayout>
                  <c:x val="4.7222222222222325E-2"/>
                  <c:y val="-1.38888888888889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(ինն ամիսների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Sheet1!$B$7:$AK$7</c:f>
              <c:numCache>
                <c:formatCode>0.0;[Red]0.0</c:formatCode>
                <c:ptCount val="2"/>
                <c:pt idx="0">
                  <c:v>821.2</c:v>
                </c:pt>
                <c:pt idx="1">
                  <c:v>787.5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ՊԱՇՏՈՆԱԿԱՆ ԴՐԱՄԱՇՆՈՐՀՆԵՐ /մլրդ.դրամ/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(ինն ամիսների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Sheet1!$B$8:$AK$8</c:f>
              <c:numCache>
                <c:formatCode>0.0;[Red]0.0</c:formatCode>
                <c:ptCount val="2"/>
                <c:pt idx="0">
                  <c:v>15.1</c:v>
                </c:pt>
                <c:pt idx="1">
                  <c:v>6.6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ԱՅԼ ԵԿԱՄՈՒՏՆԵՐ /մլրդ.դրամ/</c:v>
                </c:pt>
              </c:strCache>
            </c:strRef>
          </c:tx>
          <c:dLbls>
            <c:dLbl>
              <c:idx val="0"/>
              <c:layout>
                <c:manualLayout>
                  <c:x val="3.6111111111111184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1.9444444444444445E-2"/>
                  <c:y val="-9.259259259259300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Sheet1!$B$5:$AK$5</c:f>
              <c:strCache>
                <c:ptCount val="2"/>
                <c:pt idx="0">
                  <c:v>2016թ. (ինն ամիսների (հաստատված)</c:v>
                </c:pt>
                <c:pt idx="1">
                  <c:v>2016թ. (փաստացի)</c:v>
                </c:pt>
              </c:strCache>
            </c:strRef>
          </c:cat>
          <c:val>
            <c:numRef>
              <c:f>Sheet1!$B$9:$AK$9</c:f>
              <c:numCache>
                <c:formatCode>0.0;[Red]0.0</c:formatCode>
                <c:ptCount val="2"/>
                <c:pt idx="0">
                  <c:v>22.8</c:v>
                </c:pt>
                <c:pt idx="1">
                  <c:v>41.9</c:v>
                </c:pt>
              </c:numCache>
            </c:numRef>
          </c:val>
        </c:ser>
        <c:axId val="94947200"/>
        <c:axId val="94948736"/>
      </c:barChart>
      <c:catAx>
        <c:axId val="949472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GHEA Grapalat" pitchFamily="50" charset="0"/>
              </a:defRPr>
            </a:pPr>
            <a:endParaRPr lang="en-US"/>
          </a:p>
        </c:txPr>
        <c:crossAx val="94948736"/>
        <c:crosses val="autoZero"/>
        <c:auto val="1"/>
        <c:lblAlgn val="ctr"/>
        <c:lblOffset val="100"/>
      </c:catAx>
      <c:valAx>
        <c:axId val="94948736"/>
        <c:scaling>
          <c:orientation val="minMax"/>
        </c:scaling>
        <c:axPos val="l"/>
        <c:majorGridlines/>
        <c:numFmt formatCode="0.0;[Red]0.0" sourceLinked="1"/>
        <c:tickLblPos val="nextTo"/>
        <c:crossAx val="9494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6541994750657"/>
          <c:y val="1.1585739282589717E-2"/>
          <c:w val="0.2676791338582678"/>
          <c:h val="0.97682852143482146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3375240594925633"/>
          <c:y val="5.1400554097404488E-2"/>
          <c:w val="0.83569203849519069"/>
          <c:h val="0.54760352872557594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ԸՆԴԱՄԵՆԸ/մլրդ.դրամ/</c:v>
                </c:pt>
              </c:strCache>
            </c:strRef>
          </c:tx>
          <c:dLbls>
            <c:dLbl>
              <c:idx val="0"/>
              <c:layout>
                <c:manualLayout>
                  <c:x val="-8.5287846481876609E-3"/>
                  <c:y val="-6.9444444444444434E-2"/>
                </c:manualLayout>
              </c:layout>
              <c:showVal val="1"/>
            </c:dLbl>
            <c:dLbl>
              <c:idx val="1"/>
              <c:layout>
                <c:manualLayout>
                  <c:x val="-2.8429282160625452E-3"/>
                  <c:y val="-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1.7057569296375405E-2"/>
                  <c:y val="-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Sheet1!$B$6:$AL$6</c:f>
              <c:numCache>
                <c:formatCode>0.0;[Red]0.0</c:formatCode>
                <c:ptCount val="3"/>
                <c:pt idx="0">
                  <c:v>827.1</c:v>
                </c:pt>
                <c:pt idx="1">
                  <c:v>842.5</c:v>
                </c:pt>
                <c:pt idx="2">
                  <c:v>836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ՀԱՐԿԱՅԻՆ ԵԿԱՄՈՒՏՆԵՐ ԵՎ ՊԵՏԱԿԱՆ ՏՈՒՐՔԵՐ/մլրդ.դրամ/</c:v>
                </c:pt>
              </c:strCache>
            </c:strRef>
          </c:tx>
          <c:dLbls>
            <c:dLbl>
              <c:idx val="0"/>
              <c:layout>
                <c:manualLayout>
                  <c:x val="-8.5287846481876609E-3"/>
                  <c:y val="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1.1371712864250177E-2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4.2643923240938408E-2"/>
                  <c:y val="5.555555555555546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Sheet1!$B$7:$AL$7</c:f>
              <c:numCache>
                <c:formatCode>0.0;[Red]0.0</c:formatCode>
                <c:ptCount val="3"/>
                <c:pt idx="0">
                  <c:v>778.2</c:v>
                </c:pt>
                <c:pt idx="1">
                  <c:v>787.3</c:v>
                </c:pt>
                <c:pt idx="2">
                  <c:v>787.5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ՊԱՇՏՈՆԱԿԱՆ ԴՐԱՄԱՇՆՈՐՀՆԵՐ/մլրդ.դրամ/</c:v>
                </c:pt>
              </c:strCache>
            </c:strRef>
          </c:tx>
          <c:dLbls>
            <c:dLbl>
              <c:idx val="0"/>
              <c:layout>
                <c:manualLayout>
                  <c:x val="-5.6858564321250887E-3"/>
                  <c:y val="2.7777777777777891E-2"/>
                </c:manualLayout>
              </c:layout>
              <c:showVal val="1"/>
            </c:dLbl>
            <c:dLbl>
              <c:idx val="1"/>
              <c:layout>
                <c:manualLayout>
                  <c:x val="2.8429282160625452E-3"/>
                  <c:y val="1.8518518518518552E-2"/>
                </c:manualLayout>
              </c:layout>
              <c:showVal val="1"/>
            </c:dLbl>
            <c:dLbl>
              <c:idx val="2"/>
              <c:layout>
                <c:manualLayout>
                  <c:x val="-1.0423949707206226E-16"/>
                  <c:y val="3.703703703703702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Sheet1!$B$8:$AL$8</c:f>
              <c:numCache>
                <c:formatCode>0.0;[Red]0.0</c:formatCode>
                <c:ptCount val="3"/>
                <c:pt idx="0">
                  <c:v>1.6</c:v>
                </c:pt>
                <c:pt idx="1">
                  <c:v>4.2</c:v>
                </c:pt>
                <c:pt idx="2">
                  <c:v>6.6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ԱՅԼ ԵԿԱՄՈՒՏՆԵՐ/մլրդ.դրամ/</c:v>
                </c:pt>
              </c:strCache>
            </c:strRef>
          </c:tx>
          <c:dLbls>
            <c:dLbl>
              <c:idx val="0"/>
              <c:layout>
                <c:manualLayout>
                  <c:x val="-6.2544420753375976E-2"/>
                  <c:y val="-7.407407407407407E-2"/>
                </c:manualLayout>
              </c:layout>
              <c:showVal val="1"/>
            </c:dLbl>
            <c:dLbl>
              <c:idx val="1"/>
              <c:layout>
                <c:manualLayout>
                  <c:x val="-3.1272210376688002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2.8431520686779924E-3"/>
                  <c:y val="-7.870370370370373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Sheet1!$B$9:$AL$9</c:f>
              <c:numCache>
                <c:formatCode>0.0;[Red]0.0</c:formatCode>
                <c:ptCount val="3"/>
                <c:pt idx="0">
                  <c:v>47.3</c:v>
                </c:pt>
                <c:pt idx="1">
                  <c:v>51</c:v>
                </c:pt>
                <c:pt idx="2">
                  <c:v>41.9</c:v>
                </c:pt>
              </c:numCache>
            </c:numRef>
          </c:val>
        </c:ser>
        <c:marker val="1"/>
        <c:axId val="120896128"/>
        <c:axId val="120918400"/>
      </c:lineChart>
      <c:catAx>
        <c:axId val="1208961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GHEA Grapalat" pitchFamily="50" charset="0"/>
              </a:defRPr>
            </a:pPr>
            <a:endParaRPr lang="en-US"/>
          </a:p>
        </c:txPr>
        <c:crossAx val="120918400"/>
        <c:crosses val="autoZero"/>
        <c:auto val="1"/>
        <c:lblAlgn val="ctr"/>
        <c:lblOffset val="100"/>
      </c:catAx>
      <c:valAx>
        <c:axId val="120918400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crossAx val="120896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9465223097112933E-2"/>
          <c:y val="0.72185002916302243"/>
          <c:w val="0.88940288713910753"/>
          <c:h val="0.25037219305920205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966885389326334"/>
          <c:y val="5.1400554097404488E-2"/>
          <c:w val="0.84977559055118357"/>
          <c:h val="0.62784740449110743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ԱԱՀ/մլրդ.դրամ/</c:v>
                </c:pt>
              </c:strCache>
            </c:strRef>
          </c:tx>
          <c:dLbls>
            <c:dLbl>
              <c:idx val="0"/>
              <c:layout>
                <c:manualLayout>
                  <c:x val="-0.10555555555555562"/>
                  <c:y val="-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-8.3333333333333367E-3"/>
                  <c:y val="-4.166666666666667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Sheet1!$B$6:$AL$6</c:f>
              <c:numCache>
                <c:formatCode>0.0;[Red]0.0</c:formatCode>
                <c:ptCount val="3"/>
                <c:pt idx="0">
                  <c:v>323.8</c:v>
                </c:pt>
                <c:pt idx="1">
                  <c:v>313.39999999999969</c:v>
                </c:pt>
                <c:pt idx="2">
                  <c:v>277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Հաստատագրված վճարներ/մլրդ.դրամ/</c:v>
                </c:pt>
              </c:strCache>
            </c:strRef>
          </c:tx>
          <c:dLbls>
            <c:dLbl>
              <c:idx val="0"/>
              <c:layout>
                <c:manualLayout>
                  <c:x val="-8.6111111111110902E-2"/>
                  <c:y val="1.3888888888888841E-2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3.240740740740748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Sheet1!$B$7:$AL$7</c:f>
              <c:numCache>
                <c:formatCode>0.0;[Red]0.0</c:formatCode>
                <c:ptCount val="3"/>
                <c:pt idx="0">
                  <c:v>4.0999999999999996</c:v>
                </c:pt>
                <c:pt idx="1">
                  <c:v>2.2999999999999998</c:v>
                </c:pt>
                <c:pt idx="2">
                  <c:v>2.4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Շահութահարկ/մլրդ.դրամ/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-2.7777777777777891E-2"/>
                </c:manualLayout>
              </c:layout>
              <c:showVal val="1"/>
            </c:dLbl>
            <c:dLbl>
              <c:idx val="1"/>
              <c:layout>
                <c:manualLayout>
                  <c:x val="-8.3333333333333367E-3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Sheet1!$B$8:$AL$8</c:f>
              <c:numCache>
                <c:formatCode>0.0;[Red]0.0</c:formatCode>
                <c:ptCount val="3"/>
                <c:pt idx="0">
                  <c:v>88.4</c:v>
                </c:pt>
                <c:pt idx="1">
                  <c:v>79.900000000000006</c:v>
                </c:pt>
                <c:pt idx="2">
                  <c:v>102.8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Եկամտային հարկ/մլրդ.դրամ/</c:v>
                </c:pt>
              </c:strCache>
            </c:strRef>
          </c:tx>
          <c:dLbls>
            <c:dLbl>
              <c:idx val="0"/>
              <c:layout>
                <c:manualLayout>
                  <c:x val="-2.7777777777777913E-3"/>
                  <c:y val="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6.4814814814814964E-2"/>
                </c:manualLayout>
              </c:layout>
              <c:showVal val="1"/>
            </c:dLbl>
            <c:dLbl>
              <c:idx val="2"/>
              <c:layout>
                <c:manualLayout>
                  <c:x val="-2.5000000000000001E-2"/>
                  <c:y val="4.62962962962964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Sheet1!$B$9:$AL$9</c:f>
              <c:numCache>
                <c:formatCode>0.0;[Red]0.0</c:formatCode>
                <c:ptCount val="3"/>
                <c:pt idx="0">
                  <c:v>209.6</c:v>
                </c:pt>
                <c:pt idx="1">
                  <c:v>225.4</c:v>
                </c:pt>
                <c:pt idx="2">
                  <c:v>237.4</c:v>
                </c:pt>
              </c:numCache>
            </c:numRef>
          </c:val>
        </c:ser>
        <c:ser>
          <c:idx val="4"/>
          <c:order val="4"/>
          <c:tx>
            <c:strRef>
              <c:f>Sheet1!$A$10</c:f>
              <c:strCache>
                <c:ptCount val="1"/>
                <c:pt idx="0">
                  <c:v>Մաքսատուրքեր</c:v>
                </c:pt>
              </c:strCache>
            </c:strRef>
          </c:tx>
          <c:dLbls>
            <c:dLbl>
              <c:idx val="0"/>
              <c:layout>
                <c:manualLayout>
                  <c:x val="-9.1666666666666952E-2"/>
                  <c:y val="-1.8518518518518552E-2"/>
                </c:manualLayout>
              </c:layout>
              <c:showVal val="1"/>
            </c:dLbl>
            <c:dLbl>
              <c:idx val="1"/>
              <c:layout>
                <c:manualLayout>
                  <c:x val="0.05"/>
                  <c:y val="1.851851851851855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Sheet1!$B$10:$AL$10</c:f>
              <c:numCache>
                <c:formatCode>0.0;[Red]0.0</c:formatCode>
                <c:ptCount val="3"/>
                <c:pt idx="0">
                  <c:v>36.9</c:v>
                </c:pt>
                <c:pt idx="1">
                  <c:v>46.7</c:v>
                </c:pt>
                <c:pt idx="2">
                  <c:v>40.300000000000004</c:v>
                </c:pt>
              </c:numCache>
            </c:numRef>
          </c:val>
        </c:ser>
        <c:marker val="1"/>
        <c:axId val="120967936"/>
        <c:axId val="120969472"/>
      </c:lineChart>
      <c:catAx>
        <c:axId val="1209679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0969472"/>
        <c:crosses val="autoZero"/>
        <c:auto val="1"/>
        <c:lblAlgn val="ctr"/>
        <c:lblOffset val="100"/>
      </c:catAx>
      <c:valAx>
        <c:axId val="120969472"/>
        <c:scaling>
          <c:orientation val="minMax"/>
        </c:scaling>
        <c:axPos val="l"/>
        <c:majorGridlines/>
        <c:numFmt formatCode="0.0;[Red]0.0" sourceLinked="1"/>
        <c:majorTickMark val="none"/>
        <c:tickLblPos val="nextTo"/>
        <c:spPr>
          <a:ln w="9525">
            <a:noFill/>
          </a:ln>
        </c:spPr>
        <c:crossAx val="120967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5062335958005245E-2"/>
          <c:y val="0.80595107903178764"/>
          <c:w val="0.9548751093613298"/>
          <c:h val="0.16627114319043493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058573928258968"/>
          <c:y val="5.1400554097404488E-2"/>
          <c:w val="0.50552537182852142"/>
          <c:h val="0.73278543307086785"/>
        </c:manualLayout>
      </c:layout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Ակցզային հարկ /մլրդ.դրամ/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6296296296296398E-2"/>
                </c:manualLayout>
              </c:layout>
              <c:showVal val="1"/>
            </c:dLbl>
            <c:dLbl>
              <c:idx val="1"/>
              <c:layout>
                <c:manualLayout>
                  <c:x val="-3.055555555555561E-2"/>
                  <c:y val="-8.333333333333334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Sheet1!$B$6:$AL$6</c:f>
              <c:numCache>
                <c:formatCode>0.0;[Red]0.0</c:formatCode>
                <c:ptCount val="3"/>
                <c:pt idx="0">
                  <c:v>34.5</c:v>
                </c:pt>
                <c:pt idx="1">
                  <c:v>35.1</c:v>
                </c:pt>
                <c:pt idx="2">
                  <c:v>41.4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Բնօգտագործման եվ բնապահպանական վճարներ /մլրդ.դրամ/</c:v>
                </c:pt>
              </c:strCache>
            </c:strRef>
          </c:tx>
          <c:dLbls>
            <c:dLbl>
              <c:idx val="0"/>
              <c:layout>
                <c:manualLayout>
                  <c:x val="-2.5000000000000001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5.0925337632080396E-17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1.6666666666666701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Sheet1!$B$7:$AL$7</c:f>
              <c:numCache>
                <c:formatCode>0.0;[Red]0.0</c:formatCode>
                <c:ptCount val="3"/>
                <c:pt idx="0">
                  <c:v>20.100000000000001</c:v>
                </c:pt>
                <c:pt idx="1">
                  <c:v>23.4</c:v>
                </c:pt>
                <c:pt idx="2">
                  <c:v>19.5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Շրջանառության հարկ /մլրդ.դրամ/</c:v>
                </c:pt>
              </c:strCache>
            </c:strRef>
          </c:tx>
          <c:dLbls>
            <c:dLbl>
              <c:idx val="0"/>
              <c:layout>
                <c:manualLayout>
                  <c:x val="-8.6111111111110902E-2"/>
                  <c:y val="3.2407407407407489E-2"/>
                </c:manualLayout>
              </c:layout>
              <c:showVal val="1"/>
            </c:dLbl>
            <c:dLbl>
              <c:idx val="1"/>
              <c:layout>
                <c:manualLayout>
                  <c:x val="-3.3333333333333381E-2"/>
                  <c:y val="-4.629629629629641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Sheet1!$B$8:$AL$8</c:f>
              <c:numCache>
                <c:formatCode>0.0;[Red]0.0</c:formatCode>
                <c:ptCount val="3"/>
                <c:pt idx="0">
                  <c:v>11.8</c:v>
                </c:pt>
                <c:pt idx="1">
                  <c:v>8.2000000000000011</c:v>
                </c:pt>
                <c:pt idx="2">
                  <c:v>10.8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Նպատակային սոցիալական վճարներ</c:v>
                </c:pt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2.7777777777777891E-2"/>
                </c:manualLayout>
              </c:layout>
              <c:showVal val="1"/>
            </c:dLbl>
            <c:dLbl>
              <c:idx val="1"/>
              <c:layout>
                <c:manualLayout>
                  <c:x val="-2.7777777777778421E-3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2.7777777777777913E-3"/>
                  <c:y val="5.555555555555564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Sheet1!$B$9:$AL$9</c:f>
              <c:numCache>
                <c:formatCode>0.0;[Red]0.0</c:formatCode>
                <c:ptCount val="3"/>
                <c:pt idx="0">
                  <c:v>1.1000000000000001</c:v>
                </c:pt>
                <c:pt idx="1">
                  <c:v>7.6</c:v>
                </c:pt>
                <c:pt idx="2">
                  <c:v>9.4</c:v>
                </c:pt>
              </c:numCache>
            </c:numRef>
          </c:val>
        </c:ser>
        <c:ser>
          <c:idx val="4"/>
          <c:order val="4"/>
          <c:tx>
            <c:strRef>
              <c:f>Sheet1!$A$10</c:f>
              <c:strCache>
                <c:ptCount val="1"/>
                <c:pt idx="0">
                  <c:v>Այլ հարկային եկամուտներ /մլրդ.դրամ/</c:v>
                </c:pt>
              </c:strCache>
            </c:strRef>
          </c:tx>
          <c:dLbls>
            <c:dLbl>
              <c:idx val="1"/>
              <c:layout>
                <c:manualLayout>
                  <c:x val="-2.777777777777795E-2"/>
                  <c:y val="6.9444444444444503E-2"/>
                </c:manualLayout>
              </c:layout>
              <c:showVal val="1"/>
            </c:dLbl>
            <c:dLbl>
              <c:idx val="2"/>
              <c:layout>
                <c:manualLayout>
                  <c:x val="-1.6666666666666701E-2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Sheet1!$B$5:$AL$5</c:f>
              <c:strCache>
                <c:ptCount val="3"/>
                <c:pt idx="0">
                  <c:v>2014թ.  (փաստացի)</c:v>
                </c:pt>
                <c:pt idx="1">
                  <c:v>2015թ. (փաստացի)</c:v>
                </c:pt>
                <c:pt idx="2">
                  <c:v>2016թ. (փաստացի)</c:v>
                </c:pt>
              </c:strCache>
            </c:strRef>
          </c:cat>
          <c:val>
            <c:numRef>
              <c:f>Sheet1!$B$10:$AL$10</c:f>
              <c:numCache>
                <c:formatCode>0.0;[Red]0.0</c:formatCode>
                <c:ptCount val="3"/>
                <c:pt idx="0">
                  <c:v>16</c:v>
                </c:pt>
                <c:pt idx="1">
                  <c:v>21.3</c:v>
                </c:pt>
                <c:pt idx="2">
                  <c:v>22.3</c:v>
                </c:pt>
              </c:numCache>
            </c:numRef>
          </c:val>
        </c:ser>
        <c:marker val="1"/>
        <c:axId val="121023104"/>
        <c:axId val="121057664"/>
      </c:lineChart>
      <c:catAx>
        <c:axId val="1210231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21057664"/>
        <c:crosses val="autoZero"/>
        <c:auto val="1"/>
        <c:lblAlgn val="ctr"/>
        <c:lblOffset val="100"/>
      </c:catAx>
      <c:valAx>
        <c:axId val="121057664"/>
        <c:scaling>
          <c:orientation val="minMax"/>
        </c:scaling>
        <c:axPos val="l"/>
        <c:majorGridlines/>
        <c:numFmt formatCode="0.0;[Red]0.0" sourceLinked="1"/>
        <c:tickLblPos val="nextTo"/>
        <c:crossAx val="12102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777777777777914"/>
          <c:y val="6.921478565179359E-3"/>
          <c:w val="0.30555555555555558"/>
          <c:h val="0.99078630796150458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16</cp:revision>
  <dcterms:created xsi:type="dcterms:W3CDTF">2016-10-25T06:46:00Z</dcterms:created>
  <dcterms:modified xsi:type="dcterms:W3CDTF">2016-10-25T12:06:00Z</dcterms:modified>
</cp:coreProperties>
</file>