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49" w:rsidRDefault="00432949" w:rsidP="00F3139A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687F23">
        <w:rPr>
          <w:rFonts w:ascii="GHEA Grapalat" w:eastAsia="Times New Roman" w:hAnsi="GHEA Grapalat" w:cs="Arial Unicode"/>
          <w:sz w:val="24"/>
          <w:szCs w:val="24"/>
        </w:rPr>
        <w:t>2</w:t>
      </w:r>
      <w:r>
        <w:rPr>
          <w:rFonts w:ascii="GHEA Grapalat" w:eastAsia="Times New Roman" w:hAnsi="GHEA Grapalat" w:cs="Arial Unicode"/>
          <w:sz w:val="24"/>
          <w:szCs w:val="24"/>
        </w:rPr>
        <w:t>.</w:t>
      </w:r>
      <w:proofErr w:type="gramEnd"/>
      <w:r w:rsidR="00687F23">
        <w:rPr>
          <w:rFonts w:ascii="GHEA Grapalat" w:eastAsia="Times New Roman" w:hAnsi="GHEA Grapalat" w:cs="Arial Unicode"/>
          <w:sz w:val="24"/>
          <w:szCs w:val="24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t>Օրինակ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C1242C">
        <w:rPr>
          <w:rFonts w:ascii="GHEA Grapalat" w:eastAsia="Times New Roman" w:hAnsi="GHEA Grapalat" w:cs="Arial Unicode"/>
          <w:sz w:val="24"/>
          <w:szCs w:val="24"/>
        </w:rPr>
        <w:t>1</w:t>
      </w:r>
      <w:r>
        <w:rPr>
          <w:rFonts w:ascii="GHEA Grapalat" w:eastAsia="Times New Roman" w:hAnsi="GHEA Grapalat" w:cs="Arial Unicode"/>
          <w:sz w:val="24"/>
          <w:szCs w:val="24"/>
        </w:rPr>
        <w:t>.</w:t>
      </w:r>
      <w:proofErr w:type="gramEnd"/>
    </w:p>
    <w:p w:rsidR="00687F23" w:rsidRPr="00691BBD" w:rsidRDefault="00687F23" w:rsidP="00687F23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 w:rsidRPr="00173A69">
        <w:rPr>
          <w:rFonts w:ascii="GHEA Grapalat" w:eastAsia="Times New Roman" w:hAnsi="GHEA Grapalat" w:cs="Arial"/>
          <w:b/>
          <w:bCs/>
          <w:sz w:val="24"/>
          <w:szCs w:val="24"/>
        </w:rPr>
        <w:t>Տ</w:t>
      </w:r>
      <w:r w:rsidRPr="00691BBD">
        <w:rPr>
          <w:rFonts w:ascii="GHEA Grapalat" w:eastAsia="Times New Roman" w:hAnsi="GHEA Grapalat" w:cs="Arial"/>
          <w:b/>
          <w:bCs/>
          <w:sz w:val="24"/>
          <w:szCs w:val="24"/>
        </w:rPr>
        <w:t>ԵՂԵԿԱՆՔ</w:t>
      </w:r>
    </w:p>
    <w:p w:rsidR="00687F23" w:rsidRDefault="00687F23" w:rsidP="00687F23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173A69">
        <w:rPr>
          <w:rFonts w:ascii="GHEA Grapalat" w:eastAsia="Times New Roman" w:hAnsi="GHEA Grapalat" w:cs="Arial"/>
        </w:rPr>
        <w:t>Հայ</w:t>
      </w:r>
      <w:r>
        <w:rPr>
          <w:rFonts w:ascii="GHEA Grapalat" w:eastAsia="Times New Roman" w:hAnsi="GHEA Grapalat" w:cs="Arial"/>
        </w:rPr>
        <w:t>ա</w:t>
      </w:r>
      <w:r w:rsidRPr="00173A69">
        <w:rPr>
          <w:rFonts w:ascii="GHEA Grapalat" w:eastAsia="Times New Roman" w:hAnsi="GHEA Grapalat" w:cs="Arial"/>
        </w:rPr>
        <w:t>ստանի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Հանրապետության</w:t>
      </w:r>
      <w:proofErr w:type="spellEnd"/>
      <w:r w:rsidRPr="00173A69">
        <w:rPr>
          <w:rFonts w:ascii="GHEA Grapalat" w:eastAsia="Times New Roman" w:hAnsi="GHEA Grapalat" w:cs="Arial"/>
        </w:rPr>
        <w:t xml:space="preserve"> 2014-2017 </w:t>
      </w:r>
      <w:proofErr w:type="spellStart"/>
      <w:r w:rsidRPr="00173A69">
        <w:rPr>
          <w:rFonts w:ascii="GHEA Grapalat" w:eastAsia="Times New Roman" w:hAnsi="GHEA Grapalat" w:cs="Arial"/>
        </w:rPr>
        <w:t>թթ</w:t>
      </w:r>
      <w:proofErr w:type="spellEnd"/>
      <w:r w:rsidRPr="00173A69">
        <w:rPr>
          <w:rFonts w:ascii="GHEA Grapalat" w:eastAsia="Times New Roman" w:hAnsi="GHEA Grapalat" w:cs="Arial"/>
        </w:rPr>
        <w:t>.</w:t>
      </w:r>
      <w:proofErr w:type="gram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173A69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բյուջեների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եկամուտների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վերաբերյալ</w:t>
      </w:r>
      <w:proofErr w:type="spellEnd"/>
      <w:r w:rsidRPr="00173A69">
        <w:rPr>
          <w:rFonts w:ascii="GHEA Grapalat" w:eastAsia="Times New Roman" w:hAnsi="GHEA Grapalat" w:cs="Arial"/>
        </w:rPr>
        <w:t xml:space="preserve"> (</w:t>
      </w:r>
      <w:proofErr w:type="spellStart"/>
      <w:r w:rsidRPr="00173A69">
        <w:rPr>
          <w:rFonts w:ascii="GHEA Grapalat" w:eastAsia="Times New Roman" w:hAnsi="GHEA Grapalat" w:cs="Arial"/>
        </w:rPr>
        <w:t>հունվար-փետրվար</w:t>
      </w:r>
      <w:proofErr w:type="spellEnd"/>
      <w:r w:rsidRPr="00173A69">
        <w:rPr>
          <w:rFonts w:ascii="GHEA Grapalat" w:eastAsia="Times New Roman" w:hAnsi="GHEA Grapalat" w:cs="Arial"/>
        </w:rPr>
        <w:t>)`</w:t>
      </w:r>
      <w:r>
        <w:rPr>
          <w:rFonts w:ascii="GHEA Grapalat" w:eastAsia="Times New Roman" w:hAnsi="GHEA Grapalat" w:cs="Arial"/>
        </w:rPr>
        <w:t xml:space="preserve">                                                                            </w:t>
      </w:r>
      <w:proofErr w:type="spellStart"/>
      <w:r>
        <w:rPr>
          <w:rFonts w:ascii="GHEA Grapalat" w:eastAsia="Times New Roman" w:hAnsi="GHEA Grapalat" w:cs="Arial"/>
        </w:rPr>
        <w:t>գ</w:t>
      </w:r>
      <w:r w:rsidRPr="00173A69">
        <w:rPr>
          <w:rFonts w:ascii="GHEA Grapalat" w:eastAsia="Times New Roman" w:hAnsi="GHEA Grapalat" w:cs="Arial"/>
        </w:rPr>
        <w:t>ծապատկերներով</w:t>
      </w:r>
      <w:proofErr w:type="spellEnd"/>
      <w:r>
        <w:rPr>
          <w:rFonts w:ascii="GHEA Grapalat" w:eastAsia="Times New Roman" w:hAnsi="GHEA Grapalat" w:cs="Arial"/>
        </w:rPr>
        <w:t xml:space="preserve">       </w:t>
      </w:r>
    </w:p>
    <w:p w:rsidR="00687F23" w:rsidRDefault="00687F23" w:rsidP="00687F23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>
        <w:rPr>
          <w:rFonts w:ascii="GHEA Grapalat" w:eastAsia="Times New Roman" w:hAnsi="GHEA Grapalat" w:cs="Arial"/>
        </w:rPr>
        <w:t xml:space="preserve">                                                   </w:t>
      </w:r>
    </w:p>
    <w:p w:rsidR="00687F23" w:rsidRPr="00B71918" w:rsidRDefault="00687F23" w:rsidP="00687F23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687F23" w:rsidRDefault="00687F23" w:rsidP="00687F23">
      <w:r w:rsidRPr="00173A69">
        <w:rPr>
          <w:noProof/>
        </w:rPr>
        <w:drawing>
          <wp:inline distT="0" distB="0" distL="0" distR="0">
            <wp:extent cx="4381500" cy="26670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     </w:t>
      </w:r>
      <w:r w:rsidRPr="005E0FD9">
        <w:rPr>
          <w:noProof/>
        </w:rPr>
        <w:drawing>
          <wp:inline distT="0" distB="0" distL="0" distR="0">
            <wp:extent cx="4476750" cy="2667000"/>
            <wp:effectExtent l="19050" t="0" r="19050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F23" w:rsidRDefault="00687F23" w:rsidP="00687F23">
      <w:pPr>
        <w:rPr>
          <w:rFonts w:ascii="Sylfaen" w:hAnsi="Sylfaen" w:cs="Sylfaen"/>
        </w:rPr>
      </w:pPr>
      <w:r w:rsidRPr="00B33D18">
        <w:rPr>
          <w:noProof/>
        </w:rPr>
        <w:drawing>
          <wp:inline distT="0" distB="0" distL="0" distR="0">
            <wp:extent cx="4581525" cy="2781300"/>
            <wp:effectExtent l="19050" t="0" r="9525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Sylfaen" w:hAnsi="Sylfaen" w:cs="Sylfaen"/>
        </w:rPr>
        <w:t xml:space="preserve">    </w:t>
      </w:r>
      <w:r w:rsidRPr="00A855AE">
        <w:rPr>
          <w:noProof/>
        </w:rPr>
        <w:drawing>
          <wp:inline distT="0" distB="0" distL="0" distR="0">
            <wp:extent cx="4400550" cy="27813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71918">
        <w:rPr>
          <w:rFonts w:ascii="Sylfaen" w:hAnsi="Sylfaen" w:cs="Sylfaen"/>
        </w:rPr>
        <w:t xml:space="preserve"> </w:t>
      </w:r>
    </w:p>
    <w:p w:rsidR="00687F23" w:rsidRPr="00687F23" w:rsidRDefault="00687F23" w:rsidP="00687F23">
      <w:pPr>
        <w:spacing w:after="0" w:line="240" w:lineRule="auto"/>
        <w:rPr>
          <w:sz w:val="12"/>
          <w:szCs w:val="12"/>
        </w:rPr>
      </w:pPr>
      <w:proofErr w:type="spellStart"/>
      <w:proofErr w:type="gramStart"/>
      <w:r w:rsidRPr="00687F23">
        <w:rPr>
          <w:rFonts w:ascii="Sylfaen" w:hAnsi="Sylfaen" w:cs="Sylfaen"/>
          <w:b/>
          <w:sz w:val="12"/>
          <w:szCs w:val="12"/>
        </w:rPr>
        <w:t>Տեղեկատվության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աղբյուրներ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են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հանդիսացել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Հայաստանի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Հանրապետության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ֆինանսների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նախարարության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ինտերնետային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կայքում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հրապարակված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Հայաստանի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Հանրապետության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պետական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բյուջեի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կատարման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2014-2017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թթ</w:t>
      </w:r>
      <w:proofErr w:type="spellEnd"/>
      <w:r w:rsidRPr="00687F23">
        <w:rPr>
          <w:rFonts w:ascii="Sylfaen" w:hAnsi="Sylfaen"/>
          <w:b/>
          <w:sz w:val="12"/>
          <w:szCs w:val="12"/>
        </w:rPr>
        <w:t>.</w:t>
      </w:r>
      <w:proofErr w:type="gram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proofErr w:type="gramStart"/>
      <w:r w:rsidRPr="00687F23">
        <w:rPr>
          <w:rFonts w:ascii="Sylfaen" w:hAnsi="Sylfaen" w:cs="Sylfaen"/>
          <w:b/>
          <w:sz w:val="12"/>
          <w:szCs w:val="12"/>
        </w:rPr>
        <w:t>փետրվար</w:t>
      </w:r>
      <w:proofErr w:type="spellEnd"/>
      <w:proofErr w:type="gram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ամսվա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ամփոփ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բնութագրերը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r w:rsidRPr="00687F23">
        <w:rPr>
          <w:rFonts w:ascii="Sylfaen" w:hAnsi="Sylfaen" w:cs="Sylfaen"/>
          <w:b/>
          <w:sz w:val="12"/>
          <w:szCs w:val="12"/>
        </w:rPr>
        <w:t>և</w:t>
      </w:r>
      <w:r w:rsidRPr="00687F23">
        <w:rPr>
          <w:rFonts w:ascii="Sylfaen" w:hAnsi="Sylfaen"/>
          <w:b/>
          <w:sz w:val="12"/>
          <w:szCs w:val="12"/>
        </w:rPr>
        <w:t xml:space="preserve"> «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Հայաստանի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Հանրապետության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2017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թվականի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պետական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բյուջեի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կատարումն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ապահովող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միջոցառումների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մասին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»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Հայաստանի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Հանրապետության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կառավարության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29.12.2016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թվականի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թիվ</w:t>
      </w:r>
      <w:proofErr w:type="spellEnd"/>
      <w:r w:rsidRPr="00687F23">
        <w:rPr>
          <w:rFonts w:ascii="Sylfaen" w:hAnsi="Sylfaen"/>
          <w:b/>
          <w:sz w:val="12"/>
          <w:szCs w:val="12"/>
        </w:rPr>
        <w:t xml:space="preserve"> 1313-</w:t>
      </w:r>
      <w:r w:rsidRPr="00687F23">
        <w:rPr>
          <w:rFonts w:ascii="Sylfaen" w:hAnsi="Sylfaen" w:cs="Sylfaen"/>
          <w:b/>
          <w:sz w:val="12"/>
          <w:szCs w:val="12"/>
        </w:rPr>
        <w:t>Ն</w:t>
      </w:r>
      <w:r w:rsidRPr="00687F23">
        <w:rPr>
          <w:rFonts w:ascii="Sylfaen" w:hAnsi="Sylfaen"/>
          <w:b/>
          <w:sz w:val="12"/>
          <w:szCs w:val="12"/>
        </w:rPr>
        <w:t xml:space="preserve"> </w:t>
      </w:r>
      <w:proofErr w:type="spellStart"/>
      <w:r w:rsidRPr="00687F23">
        <w:rPr>
          <w:rFonts w:ascii="Sylfaen" w:hAnsi="Sylfaen" w:cs="Sylfaen"/>
          <w:b/>
          <w:sz w:val="12"/>
          <w:szCs w:val="12"/>
        </w:rPr>
        <w:t>որոշումը</w:t>
      </w:r>
      <w:proofErr w:type="spellEnd"/>
    </w:p>
    <w:p w:rsidR="002C5072" w:rsidRDefault="002C5072" w:rsidP="003E377C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3E377C" w:rsidRDefault="003E377C" w:rsidP="003E377C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lastRenderedPageBreak/>
        <w:t>Հավելված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2.</w:t>
      </w:r>
      <w:proofErr w:type="gramEnd"/>
      <w:r>
        <w:rPr>
          <w:rFonts w:ascii="GHEA Grapalat" w:eastAsia="Times New Roman" w:hAnsi="GHEA Grapalat" w:cs="Arial Unicode"/>
          <w:sz w:val="24"/>
          <w:szCs w:val="24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t>Օրինակ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C1242C">
        <w:rPr>
          <w:rFonts w:ascii="GHEA Grapalat" w:eastAsia="Times New Roman" w:hAnsi="GHEA Grapalat" w:cs="Arial Unicode"/>
          <w:sz w:val="24"/>
          <w:szCs w:val="24"/>
        </w:rPr>
        <w:t>2</w:t>
      </w:r>
      <w:r>
        <w:rPr>
          <w:rFonts w:ascii="GHEA Grapalat" w:eastAsia="Times New Roman" w:hAnsi="GHEA Grapalat" w:cs="Arial Unicode"/>
          <w:sz w:val="24"/>
          <w:szCs w:val="24"/>
        </w:rPr>
        <w:t>.</w:t>
      </w:r>
      <w:proofErr w:type="gramEnd"/>
    </w:p>
    <w:p w:rsidR="00B245E5" w:rsidRPr="00B245E5" w:rsidRDefault="00B245E5" w:rsidP="00B245E5">
      <w:pPr>
        <w:ind w:left="-360" w:firstLine="360"/>
        <w:jc w:val="center"/>
        <w:rPr>
          <w:rFonts w:ascii="GHEA Grapalat" w:hAnsi="GHEA Grapalat" w:cs="Sylfaen"/>
          <w:b/>
        </w:rPr>
      </w:pPr>
      <w:r w:rsidRPr="00B245E5">
        <w:rPr>
          <w:rFonts w:ascii="GHEA Grapalat" w:hAnsi="GHEA Grapalat" w:cs="Sylfaen"/>
          <w:b/>
        </w:rPr>
        <w:t>ՏԵՂԵԿԱՆՔ</w:t>
      </w:r>
    </w:p>
    <w:p w:rsidR="00B245E5" w:rsidRPr="00B245E5" w:rsidRDefault="00B245E5" w:rsidP="00B245E5">
      <w:pPr>
        <w:ind w:left="-360" w:firstLine="360"/>
        <w:jc w:val="center"/>
        <w:rPr>
          <w:rFonts w:ascii="GHEA Grapalat" w:hAnsi="GHEA Grapalat" w:cs="Sylfaen"/>
        </w:rPr>
      </w:pPr>
      <w:r w:rsidRPr="00B245E5">
        <w:rPr>
          <w:rFonts w:ascii="GHEA Grapalat" w:hAnsi="GHEA Grapalat" w:cs="Sylfaen"/>
        </w:rPr>
        <w:t xml:space="preserve">2014-2017թթ. </w:t>
      </w:r>
      <w:proofErr w:type="spellStart"/>
      <w:r w:rsidRPr="00B245E5">
        <w:rPr>
          <w:rFonts w:ascii="GHEA Grapalat" w:hAnsi="GHEA Grapalat" w:cs="Sylfaen"/>
        </w:rPr>
        <w:t>Հայաստանի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Հանրապետության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պետական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պարտքի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վերաբերյալ</w:t>
      </w:r>
      <w:proofErr w:type="spellEnd"/>
      <w:r w:rsidRPr="00B245E5">
        <w:rPr>
          <w:rFonts w:ascii="GHEA Grapalat" w:hAnsi="GHEA Grapalat" w:cs="Sylfaen"/>
        </w:rPr>
        <w:t xml:space="preserve"> (</w:t>
      </w:r>
      <w:proofErr w:type="spellStart"/>
      <w:r w:rsidRPr="00B245E5">
        <w:rPr>
          <w:rFonts w:ascii="GHEA Grapalat" w:hAnsi="GHEA Grapalat" w:cs="Sylfaen"/>
        </w:rPr>
        <w:t>փետրվար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ամսվա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վերջի</w:t>
      </w:r>
      <w:proofErr w:type="spellEnd"/>
      <w:r w:rsidRPr="00B245E5">
        <w:rPr>
          <w:rFonts w:ascii="GHEA Grapalat" w:hAnsi="GHEA Grapalat" w:cs="Sylfaen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դրությամբ</w:t>
      </w:r>
      <w:proofErr w:type="spellEnd"/>
      <w:proofErr w:type="gramStart"/>
      <w:r w:rsidRPr="00B245E5">
        <w:rPr>
          <w:rFonts w:ascii="GHEA Grapalat" w:hAnsi="GHEA Grapalat" w:cs="Sylfaen"/>
        </w:rPr>
        <w:t>)</w:t>
      </w:r>
      <w:r w:rsidRPr="00B245E5">
        <w:rPr>
          <w:rFonts w:ascii="GHEA Grapalat" w:hAnsi="GHEA Grapalat"/>
        </w:rPr>
        <w:t>`</w:t>
      </w:r>
      <w:proofErr w:type="gramEnd"/>
      <w:r w:rsidRPr="00B245E5">
        <w:rPr>
          <w:rFonts w:ascii="GHEA Grapalat" w:hAnsi="GHEA Grapalat"/>
        </w:rPr>
        <w:t xml:space="preserve"> </w:t>
      </w:r>
      <w:proofErr w:type="spellStart"/>
      <w:r w:rsidRPr="00B245E5">
        <w:rPr>
          <w:rFonts w:ascii="GHEA Grapalat" w:hAnsi="GHEA Grapalat" w:cs="Sylfaen"/>
        </w:rPr>
        <w:t>գծապատկերներով</w:t>
      </w:r>
      <w:proofErr w:type="spellEnd"/>
    </w:p>
    <w:p w:rsidR="00B245E5" w:rsidRDefault="00B245E5" w:rsidP="00B245E5">
      <w:pPr>
        <w:ind w:left="-360" w:firstLine="360"/>
        <w:rPr>
          <w:rFonts w:ascii="GHEA Grapalat" w:hAnsi="GHEA Grapalat"/>
          <w:sz w:val="24"/>
          <w:szCs w:val="24"/>
        </w:rPr>
      </w:pPr>
      <w:r w:rsidRPr="007A163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33D7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5E5" w:rsidRDefault="00B245E5" w:rsidP="00B245E5">
      <w:pPr>
        <w:ind w:left="-360" w:firstLine="360"/>
        <w:rPr>
          <w:rFonts w:ascii="GHEA Grapalat" w:hAnsi="GHEA Grapalat"/>
          <w:b/>
          <w:sz w:val="16"/>
          <w:szCs w:val="16"/>
        </w:rPr>
      </w:pPr>
      <w:r w:rsidRPr="00A80F6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A07F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 </w:t>
      </w:r>
    </w:p>
    <w:p w:rsidR="00B245E5" w:rsidRDefault="00B245E5" w:rsidP="00B245E5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A6D3A" w:rsidRDefault="000A6D3A" w:rsidP="00B245E5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B245E5" w:rsidRDefault="00B245E5" w:rsidP="00B245E5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lastRenderedPageBreak/>
        <w:t>Հավելված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2.</w:t>
      </w:r>
      <w:proofErr w:type="gramEnd"/>
      <w:r>
        <w:rPr>
          <w:rFonts w:ascii="GHEA Grapalat" w:eastAsia="Times New Roman" w:hAnsi="GHEA Grapalat" w:cs="Arial Unicode"/>
          <w:sz w:val="24"/>
          <w:szCs w:val="24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t>Օրինակ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C1242C">
        <w:rPr>
          <w:rFonts w:ascii="GHEA Grapalat" w:eastAsia="Times New Roman" w:hAnsi="GHEA Grapalat" w:cs="Arial Unicode"/>
          <w:sz w:val="24"/>
          <w:szCs w:val="24"/>
        </w:rPr>
        <w:t>3</w:t>
      </w:r>
      <w:r>
        <w:rPr>
          <w:rFonts w:ascii="GHEA Grapalat" w:eastAsia="Times New Roman" w:hAnsi="GHEA Grapalat" w:cs="Arial Unicode"/>
          <w:sz w:val="24"/>
          <w:szCs w:val="24"/>
        </w:rPr>
        <w:t>.</w:t>
      </w:r>
      <w:proofErr w:type="gramEnd"/>
    </w:p>
    <w:p w:rsidR="007B024F" w:rsidRPr="007B024F" w:rsidRDefault="007B024F" w:rsidP="007B024F">
      <w:pPr>
        <w:ind w:left="-360" w:firstLine="360"/>
        <w:jc w:val="center"/>
        <w:rPr>
          <w:rFonts w:ascii="GHEA Grapalat" w:hAnsi="GHEA Grapalat" w:cs="Sylfaen"/>
          <w:b/>
        </w:rPr>
      </w:pPr>
      <w:r w:rsidRPr="007B024F">
        <w:rPr>
          <w:rFonts w:ascii="GHEA Grapalat" w:hAnsi="GHEA Grapalat" w:cs="Sylfaen"/>
          <w:b/>
        </w:rPr>
        <w:t>ՏԵՂԵԿԱՆՔ</w:t>
      </w:r>
    </w:p>
    <w:p w:rsidR="007B024F" w:rsidRPr="007B024F" w:rsidRDefault="007B024F" w:rsidP="007B024F">
      <w:pPr>
        <w:ind w:left="-360" w:firstLine="360"/>
        <w:jc w:val="center"/>
        <w:rPr>
          <w:rFonts w:ascii="GHEA Grapalat" w:hAnsi="GHEA Grapalat" w:cs="Sylfaen"/>
        </w:rPr>
      </w:pPr>
      <w:r w:rsidRPr="007B024F">
        <w:rPr>
          <w:rFonts w:ascii="GHEA Grapalat" w:hAnsi="GHEA Grapalat" w:cs="Sylfaen"/>
        </w:rPr>
        <w:t xml:space="preserve">2014-2017թթ. ՀՀ </w:t>
      </w:r>
      <w:proofErr w:type="spellStart"/>
      <w:r w:rsidRPr="007B024F">
        <w:rPr>
          <w:rFonts w:ascii="GHEA Grapalat" w:hAnsi="GHEA Grapalat" w:cs="Sylfaen"/>
        </w:rPr>
        <w:t>տնտեսությունը</w:t>
      </w:r>
      <w:proofErr w:type="spellEnd"/>
      <w:r w:rsidRPr="007B024F">
        <w:rPr>
          <w:rFonts w:ascii="GHEA Grapalat" w:hAnsi="GHEA Grapalat" w:cs="Sylfaen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բնութագրող</w:t>
      </w:r>
      <w:proofErr w:type="spellEnd"/>
      <w:r w:rsidRPr="007B024F">
        <w:rPr>
          <w:rFonts w:ascii="GHEA Grapalat" w:hAnsi="GHEA Grapalat" w:cs="Sylfaen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հիմնական</w:t>
      </w:r>
      <w:proofErr w:type="spellEnd"/>
      <w:r w:rsidRPr="007B024F">
        <w:rPr>
          <w:rFonts w:ascii="GHEA Grapalat" w:hAnsi="GHEA Grapalat" w:cs="Sylfaen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մակրոտնտեսական</w:t>
      </w:r>
      <w:proofErr w:type="spellEnd"/>
      <w:r w:rsidRPr="007B024F">
        <w:rPr>
          <w:rFonts w:ascii="GHEA Grapalat" w:hAnsi="GHEA Grapalat" w:cs="Sylfaen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ցուցանիշների</w:t>
      </w:r>
      <w:proofErr w:type="spellEnd"/>
      <w:r w:rsidRPr="007B024F">
        <w:rPr>
          <w:rFonts w:ascii="GHEA Grapalat" w:hAnsi="GHEA Grapalat" w:cs="Sylfaen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վերաբերյալ</w:t>
      </w:r>
      <w:proofErr w:type="spellEnd"/>
      <w:r w:rsidRPr="007B024F">
        <w:rPr>
          <w:rFonts w:ascii="GHEA Grapalat" w:hAnsi="GHEA Grapalat" w:cs="Sylfaen"/>
        </w:rPr>
        <w:t xml:space="preserve"> (</w:t>
      </w:r>
      <w:proofErr w:type="spellStart"/>
      <w:r w:rsidRPr="007B024F">
        <w:rPr>
          <w:rFonts w:ascii="GHEA Grapalat" w:hAnsi="GHEA Grapalat" w:cs="Sylfaen"/>
        </w:rPr>
        <w:t>հունվար</w:t>
      </w:r>
      <w:proofErr w:type="spellEnd"/>
      <w:proofErr w:type="gramStart"/>
      <w:r w:rsidRPr="007B024F">
        <w:rPr>
          <w:rFonts w:ascii="GHEA Grapalat" w:hAnsi="GHEA Grapalat" w:cs="Sylfaen"/>
        </w:rPr>
        <w:t>)</w:t>
      </w:r>
      <w:r w:rsidRPr="007B024F">
        <w:rPr>
          <w:rFonts w:ascii="GHEA Grapalat" w:hAnsi="GHEA Grapalat"/>
        </w:rPr>
        <w:t>`</w:t>
      </w:r>
      <w:proofErr w:type="gramEnd"/>
      <w:r w:rsidRPr="007B024F">
        <w:rPr>
          <w:rFonts w:ascii="GHEA Grapalat" w:hAnsi="GHEA Grapalat"/>
        </w:rPr>
        <w:t xml:space="preserve"> </w:t>
      </w:r>
      <w:proofErr w:type="spellStart"/>
      <w:r w:rsidRPr="007B024F">
        <w:rPr>
          <w:rFonts w:ascii="GHEA Grapalat" w:hAnsi="GHEA Grapalat" w:cs="Sylfaen"/>
        </w:rPr>
        <w:t>գծապատկերներով</w:t>
      </w:r>
      <w:proofErr w:type="spellEnd"/>
    </w:p>
    <w:p w:rsidR="007B024F" w:rsidRDefault="007B024F" w:rsidP="007B024F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FA1371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60B7D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072" w:rsidRDefault="007B024F" w:rsidP="002C5072">
      <w:pPr>
        <w:ind w:left="-360" w:firstLine="360"/>
        <w:rPr>
          <w:rFonts w:ascii="GHEA Grapalat" w:hAnsi="GHEA Grapalat"/>
          <w:noProof/>
          <w:sz w:val="24"/>
          <w:szCs w:val="24"/>
        </w:rPr>
      </w:pPr>
      <w:r w:rsidRPr="00BD385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E753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86275" cy="2743200"/>
            <wp:effectExtent l="19050" t="0" r="9525" b="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 </w:t>
      </w:r>
    </w:p>
    <w:p w:rsidR="007B024F" w:rsidRDefault="007B024F" w:rsidP="002C5072">
      <w:pPr>
        <w:ind w:left="-36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  <w:r w:rsidRPr="00440E2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86275" cy="2743200"/>
            <wp:effectExtent l="19050" t="0" r="9525" b="0"/>
            <wp:docPr id="3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 </w:t>
      </w:r>
      <w:r w:rsidRPr="005E021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2475" cy="2743200"/>
            <wp:effectExtent l="19050" t="0" r="9525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024F" w:rsidRDefault="007B024F" w:rsidP="002C5072">
      <w:pPr>
        <w:ind w:left="-360" w:firstLine="360"/>
        <w:rPr>
          <w:rFonts w:ascii="GHEA Grapalat" w:hAnsi="GHEA Grapalat"/>
          <w:sz w:val="24"/>
          <w:szCs w:val="24"/>
        </w:rPr>
      </w:pPr>
      <w:r w:rsidRPr="007B4FE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33900" cy="2838450"/>
            <wp:effectExtent l="19050" t="0" r="1905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C5072">
        <w:rPr>
          <w:rFonts w:ascii="GHEA Grapalat" w:hAnsi="GHEA Grapalat"/>
          <w:sz w:val="24"/>
          <w:szCs w:val="24"/>
        </w:rPr>
        <w:t xml:space="preserve">   </w:t>
      </w:r>
      <w:r w:rsidRPr="0048014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05325" cy="283845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024F" w:rsidRDefault="007B024F" w:rsidP="007B024F">
      <w:pPr>
        <w:ind w:left="-360" w:firstLine="360"/>
        <w:rPr>
          <w:rFonts w:ascii="GHEA Grapalat" w:hAnsi="GHEA Grapalat"/>
          <w:sz w:val="24"/>
          <w:szCs w:val="24"/>
        </w:rPr>
      </w:pPr>
    </w:p>
    <w:p w:rsidR="000A6D3A" w:rsidRDefault="000A6D3A" w:rsidP="00F3139A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0A6D3A" w:rsidRDefault="000A6D3A" w:rsidP="00F3139A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2C5072" w:rsidRDefault="002C5072" w:rsidP="00F3139A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0A6D3A" w:rsidRDefault="000A6D3A" w:rsidP="00F3139A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Arial Unicode"/>
          <w:sz w:val="24"/>
          <w:szCs w:val="24"/>
        </w:rPr>
        <w:lastRenderedPageBreak/>
        <w:t>Հավելված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2.</w:t>
      </w:r>
      <w:proofErr w:type="gram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</w:rPr>
        <w:t>Օրինակ</w:t>
      </w:r>
      <w:proofErr w:type="spellEnd"/>
      <w:r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C1242C">
        <w:rPr>
          <w:rFonts w:ascii="GHEA Grapalat" w:eastAsia="Times New Roman" w:hAnsi="GHEA Grapalat" w:cs="Arial Unicode"/>
          <w:sz w:val="24"/>
          <w:szCs w:val="24"/>
        </w:rPr>
        <w:t>4</w:t>
      </w:r>
    </w:p>
    <w:p w:rsidR="000A6D3A" w:rsidRDefault="000A6D3A" w:rsidP="000A6D3A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0A6D3A">
        <w:rPr>
          <w:rFonts w:ascii="GHEA Grapalat" w:eastAsia="Times New Roman" w:hAnsi="GHEA Grapalat" w:cs="Times New Roman"/>
          <w:b/>
          <w:bCs/>
          <w:color w:val="000000"/>
        </w:rPr>
        <w:t>ՏԵՂԵԿԱՆՔ</w:t>
      </w:r>
    </w:p>
    <w:p w:rsidR="000A6D3A" w:rsidRDefault="000A6D3A" w:rsidP="000A6D3A">
      <w:pPr>
        <w:spacing w:after="0" w:line="240" w:lineRule="auto"/>
        <w:jc w:val="center"/>
        <w:rPr>
          <w:rFonts w:ascii="GHEA Grapalat" w:eastAsia="Times New Roman" w:hAnsi="GHEA Grapalat" w:cs="Times New Roman"/>
        </w:rPr>
      </w:pPr>
      <w:r w:rsidRPr="000A6D3A">
        <w:rPr>
          <w:rFonts w:ascii="GHEA Grapalat" w:eastAsia="Times New Roman" w:hAnsi="GHEA Grapalat" w:cs="Times New Roman"/>
        </w:rPr>
        <w:t xml:space="preserve">2014-2017ԹԹ ՊԵՏԱԿԱՆ ԲՅՈՒՋԵՆԵՐՈՎ ՀՀ ՄԱՐԴՈՒ ԻՐԱՎՈՒՆՔՆԵՐԻ ՊԱՇՏՊԱՆԻ </w:t>
      </w:r>
      <w:proofErr w:type="gramStart"/>
      <w:r w:rsidRPr="000A6D3A">
        <w:rPr>
          <w:rFonts w:ascii="GHEA Grapalat" w:eastAsia="Times New Roman" w:hAnsi="GHEA Grapalat" w:cs="Times New Roman"/>
        </w:rPr>
        <w:t>ԱՇԽԱՏԱԿԱԶՄԻ  ՈՉ</w:t>
      </w:r>
      <w:proofErr w:type="gramEnd"/>
      <w:r w:rsidRPr="000A6D3A">
        <w:rPr>
          <w:rFonts w:ascii="GHEA Grapalat" w:eastAsia="Times New Roman" w:hAnsi="GHEA Grapalat" w:cs="Times New Roman"/>
        </w:rPr>
        <w:t xml:space="preserve"> ՖԻՆԱՆՍԱԿԱՆ  </w:t>
      </w:r>
    </w:p>
    <w:p w:rsidR="000A6D3A" w:rsidRDefault="000A6D3A" w:rsidP="000A6D3A">
      <w:pPr>
        <w:spacing w:line="240" w:lineRule="auto"/>
        <w:jc w:val="center"/>
        <w:rPr>
          <w:rFonts w:ascii="GHEA Grapalat" w:eastAsia="Times New Roman" w:hAnsi="GHEA Grapalat" w:cs="Arial Unicode"/>
          <w:sz w:val="24"/>
          <w:szCs w:val="24"/>
        </w:rPr>
      </w:pPr>
      <w:r w:rsidRPr="000A6D3A">
        <w:rPr>
          <w:rFonts w:ascii="GHEA Grapalat" w:eastAsia="Times New Roman" w:hAnsi="GHEA Grapalat" w:cs="Times New Roman"/>
        </w:rPr>
        <w:t>ՑՈՒՑԱՆԻՇՆԵՐԻ ՎԵՐԱԲԵՐՅԱԼ</w:t>
      </w:r>
    </w:p>
    <w:tbl>
      <w:tblPr>
        <w:tblW w:w="15320" w:type="dxa"/>
        <w:tblInd w:w="738" w:type="dxa"/>
        <w:tblLook w:val="04A0"/>
      </w:tblPr>
      <w:tblGrid>
        <w:gridCol w:w="1574"/>
        <w:gridCol w:w="2580"/>
        <w:gridCol w:w="1233"/>
        <w:gridCol w:w="1000"/>
        <w:gridCol w:w="1122"/>
        <w:gridCol w:w="960"/>
        <w:gridCol w:w="1122"/>
        <w:gridCol w:w="803"/>
        <w:gridCol w:w="1083"/>
        <w:gridCol w:w="840"/>
        <w:gridCol w:w="1083"/>
        <w:gridCol w:w="960"/>
        <w:gridCol w:w="960"/>
      </w:tblGrid>
      <w:tr w:rsidR="000A6D3A" w:rsidRPr="000A6D3A" w:rsidTr="000A6D3A">
        <w:trPr>
          <w:trHeight w:val="375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A6D3A">
              <w:rPr>
                <w:rFonts w:ascii="Sylfaen" w:eastAsia="Times New Roman" w:hAnsi="Sylfaen" w:cs="Sylfaen"/>
                <w:color w:val="000000"/>
              </w:rPr>
              <w:t>հազար</w:t>
            </w:r>
            <w:proofErr w:type="spellEnd"/>
            <w:r w:rsidRPr="000A6D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6D3A">
              <w:rPr>
                <w:rFonts w:ascii="Sylfaen" w:eastAsia="Times New Roman" w:hAnsi="Sylfaen" w:cs="Sylfaen"/>
                <w:color w:val="000000"/>
              </w:rPr>
              <w:t>դրամ</w:t>
            </w:r>
            <w:proofErr w:type="spellEnd"/>
            <w:r w:rsidRPr="000A6D3A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34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Ծրագրի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կամ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Քաղաքականության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միջոցառման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Չափորոշիչը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նկարագրությունը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Չափորոշիչի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տեսակը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2014թ.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2015թ.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2016թ.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2017թ.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15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Փաստացի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կատարված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ընդունված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)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Փաստացի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դրամարկղային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ծախս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)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Փաստացի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կատարված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ընդունված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)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Փաստացի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դրամարկղային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ծախս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)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Պլանային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դրամարկղային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ծախսը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Պլանային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ցուցանիշը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դրամարկղային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ծախսը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հաշվետու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ժամանակա-հատվածում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10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Մարդու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իրավունքների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հիմնարար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ազատությունների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պաշտպանության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ծառայություններ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Մատուցվող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ծառայության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վրա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կատարվող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ծախսը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213705.8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238656.0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254824.2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250508.4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6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Աշխատակազմի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կողմից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ծառայություն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ստացած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անձանց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6481.0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5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Ուսումնասիրված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այդ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թվում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`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6326.0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5214.0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գրավոր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1785.0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1428.0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6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քննարկման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ընդունված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գրավոր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1133.0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928.0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48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բանավոր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ընդհանուր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որից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`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4541.0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3786.0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*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անհատական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դիմումների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միջոցով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2067.0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5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*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թեժ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գծի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զանգերի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միջոցով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1386.0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9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Ուսումնասիրված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դիմում-բողոքների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մեջ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դրական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լուծում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ստացած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դիմում-բողոքների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տոկոսային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արտահայտությամբ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(%)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որակական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55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իրավաբանական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խորհրդատվություն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ստացած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բողոքատուներ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 /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թիվը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/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4541.0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D3A" w:rsidRPr="000A6D3A" w:rsidTr="000A6D3A">
        <w:trPr>
          <w:trHeight w:val="5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r w:rsidRPr="000A6D3A">
              <w:rPr>
                <w:rFonts w:ascii="Courier New" w:eastAsia="Times New Roman" w:hAnsi="Courier New" w:cs="Courier New"/>
                <w:sz w:val="12"/>
                <w:szCs w:val="12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դրական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լուծում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ստացած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բողոքների</w:t>
            </w:r>
            <w:proofErr w:type="spellEnd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քանակը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2"/>
                <w:szCs w:val="12"/>
              </w:rPr>
            </w:pPr>
            <w:proofErr w:type="spellStart"/>
            <w:r w:rsidRPr="000A6D3A">
              <w:rPr>
                <w:rFonts w:ascii="GHEA Grapalat" w:eastAsia="Times New Roman" w:hAnsi="GHEA Grapalat" w:cs="Times New Roman"/>
                <w:sz w:val="12"/>
                <w:szCs w:val="12"/>
              </w:rPr>
              <w:t>քանակական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385.0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0A6D3A">
              <w:rPr>
                <w:rFonts w:ascii="GHEA Grapalat" w:eastAsia="Times New Roman" w:hAnsi="GHEA Grapalat" w:cs="Times New Roman"/>
                <w:sz w:val="16"/>
                <w:szCs w:val="16"/>
              </w:rPr>
              <w:t>498.0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3A" w:rsidRPr="000A6D3A" w:rsidRDefault="000A6D3A" w:rsidP="000A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6D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3A" w:rsidRPr="000A6D3A" w:rsidRDefault="000A6D3A" w:rsidP="000A6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6D3A" w:rsidRDefault="000A6D3A" w:rsidP="002C5072">
      <w:pPr>
        <w:spacing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sectPr w:rsidR="000A6D3A" w:rsidSect="00F824DD">
      <w:pgSz w:w="15840" w:h="12240" w:orient="landscape"/>
      <w:pgMar w:top="36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4216"/>
    <w:rsid w:val="00040FA4"/>
    <w:rsid w:val="000A6D3A"/>
    <w:rsid w:val="00185D7E"/>
    <w:rsid w:val="002A6807"/>
    <w:rsid w:val="002C5072"/>
    <w:rsid w:val="002E0DF7"/>
    <w:rsid w:val="0035160A"/>
    <w:rsid w:val="003C5F68"/>
    <w:rsid w:val="003E377C"/>
    <w:rsid w:val="00432949"/>
    <w:rsid w:val="004D3E44"/>
    <w:rsid w:val="004E6873"/>
    <w:rsid w:val="00620AE9"/>
    <w:rsid w:val="00687F23"/>
    <w:rsid w:val="006934A8"/>
    <w:rsid w:val="006C31C2"/>
    <w:rsid w:val="007B024F"/>
    <w:rsid w:val="007E4640"/>
    <w:rsid w:val="00893C23"/>
    <w:rsid w:val="0094053A"/>
    <w:rsid w:val="009C5D92"/>
    <w:rsid w:val="009F5D3A"/>
    <w:rsid w:val="00A04937"/>
    <w:rsid w:val="00A147A4"/>
    <w:rsid w:val="00B245E5"/>
    <w:rsid w:val="00B307CC"/>
    <w:rsid w:val="00B43B93"/>
    <w:rsid w:val="00B672F5"/>
    <w:rsid w:val="00C1242C"/>
    <w:rsid w:val="00CB6A25"/>
    <w:rsid w:val="00CD41D8"/>
    <w:rsid w:val="00CE5C95"/>
    <w:rsid w:val="00DD08E9"/>
    <w:rsid w:val="00E15B78"/>
    <w:rsid w:val="00E44216"/>
    <w:rsid w:val="00EE3D3B"/>
    <w:rsid w:val="00F3139A"/>
    <w:rsid w:val="00F765EA"/>
    <w:rsid w:val="00F8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216"/>
    <w:pPr>
      <w:tabs>
        <w:tab w:val="center" w:pos="4320"/>
        <w:tab w:val="right" w:pos="8640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44216"/>
    <w:rPr>
      <w:rFonts w:ascii="Times Armenian" w:eastAsia="Times New Roman" w:hAnsi="Times Armeni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6D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D3A"/>
    <w:rPr>
      <w:color w:val="800080"/>
      <w:u w:val="single"/>
    </w:rPr>
  </w:style>
  <w:style w:type="paragraph" w:customStyle="1" w:styleId="xl110">
    <w:name w:val="xl110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1">
    <w:name w:val="xl111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2">
    <w:name w:val="xl112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3">
    <w:name w:val="xl113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5">
    <w:name w:val="xl115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6">
    <w:name w:val="xl116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8">
    <w:name w:val="xl118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19">
    <w:name w:val="xl119"/>
    <w:basedOn w:val="Normal"/>
    <w:rsid w:val="000A6D3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0">
    <w:name w:val="xl120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1">
    <w:name w:val="xl121"/>
    <w:basedOn w:val="Normal"/>
    <w:rsid w:val="000A6D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2">
    <w:name w:val="xl122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3">
    <w:name w:val="xl123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4">
    <w:name w:val="xl124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5">
    <w:name w:val="xl125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6">
    <w:name w:val="xl126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7">
    <w:name w:val="xl127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28">
    <w:name w:val="xl128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0">
    <w:name w:val="xl130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31">
    <w:name w:val="xl131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33">
    <w:name w:val="xl133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4">
    <w:name w:val="xl134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2060"/>
      <w:sz w:val="12"/>
      <w:szCs w:val="12"/>
    </w:rPr>
  </w:style>
  <w:style w:type="paragraph" w:customStyle="1" w:styleId="xl135">
    <w:name w:val="xl135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2"/>
      <w:szCs w:val="12"/>
    </w:rPr>
  </w:style>
  <w:style w:type="paragraph" w:customStyle="1" w:styleId="xl136">
    <w:name w:val="xl136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2060"/>
      <w:sz w:val="12"/>
      <w:szCs w:val="12"/>
    </w:rPr>
  </w:style>
  <w:style w:type="paragraph" w:customStyle="1" w:styleId="xl137">
    <w:name w:val="xl137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38">
    <w:name w:val="xl138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0A6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2060"/>
      <w:sz w:val="12"/>
      <w:szCs w:val="12"/>
    </w:rPr>
  </w:style>
  <w:style w:type="paragraph" w:customStyle="1" w:styleId="xl140">
    <w:name w:val="xl140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2060"/>
      <w:sz w:val="12"/>
      <w:szCs w:val="12"/>
    </w:rPr>
  </w:style>
  <w:style w:type="paragraph" w:customStyle="1" w:styleId="xl141">
    <w:name w:val="xl141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2060"/>
      <w:sz w:val="12"/>
      <w:szCs w:val="12"/>
    </w:rPr>
  </w:style>
  <w:style w:type="paragraph" w:customStyle="1" w:styleId="xl142">
    <w:name w:val="xl142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2"/>
      <w:szCs w:val="12"/>
    </w:rPr>
  </w:style>
  <w:style w:type="paragraph" w:customStyle="1" w:styleId="xl143">
    <w:name w:val="xl143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44">
    <w:name w:val="xl144"/>
    <w:basedOn w:val="Normal"/>
    <w:rsid w:val="000A6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45">
    <w:name w:val="xl145"/>
    <w:basedOn w:val="Normal"/>
    <w:rsid w:val="000A6D3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0A6D3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7">
    <w:name w:val="xl147"/>
    <w:basedOn w:val="Normal"/>
    <w:rsid w:val="000A6D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0A6D3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9">
    <w:name w:val="xl149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  <w:style w:type="paragraph" w:customStyle="1" w:styleId="xl150">
    <w:name w:val="xl150"/>
    <w:basedOn w:val="Normal"/>
    <w:rsid w:val="000A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Petrvar\hunvar-petrvar%202017%20grafikne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makro\inasyani%20hama8\blank-hunvar%20-%20Copy%20(2)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makro\inasyani%20hama8\blank-hunvar%20-%20Copy%20(2)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MacroJan-2017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Petrvar\hunvar-petrvar%202017%20grafikn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Petrvar\hunvar-petrvar%202017%20grafikn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Petrvar\hunvar-petrvar%202017%20grafikn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28.02.2017\basaner\petrv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28.02.2017\basaner\petrva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28.02.2017\basaner\petrvar-Fin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28.02.2017\basaner\petrvar-Fin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ot\Desktop\&#1053;&#1086;&#1074;&#1072;&#1103;%20&#1087;&#1072;&#1087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/մլրդ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3.8460482217262663E-2"/>
          <c:y val="0.31382898566250833"/>
          <c:w val="0.93956217838329048"/>
          <c:h val="0.53116467584409088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</c:v>
                </c:pt>
              </c:strCache>
            </c:strRef>
          </c:tx>
          <c:dLbls>
            <c:showVal val="1"/>
          </c:dLbls>
          <c:cat>
            <c:strRef>
              <c:f>Sheet1!$B$5:$AK$5</c:f>
              <c:strCache>
                <c:ptCount val="2"/>
                <c:pt idx="0">
                  <c:v>2017թ.  (1-ին եռամսյակ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Sheet1!$B$6:$AK$6</c:f>
              <c:numCache>
                <c:formatCode>0.0;[Red]0.0</c:formatCode>
                <c:ptCount val="2"/>
                <c:pt idx="0">
                  <c:v>252.7</c:v>
                </c:pt>
                <c:pt idx="1">
                  <c:v>172.7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showVal val="1"/>
          </c:dLbls>
          <c:cat>
            <c:strRef>
              <c:f>Sheet1!$B$5:$AK$5</c:f>
              <c:strCache>
                <c:ptCount val="2"/>
                <c:pt idx="0">
                  <c:v>2017թ.  (1-ին եռամսյակ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Sheet1!$B$7:$AK$7</c:f>
              <c:numCache>
                <c:formatCode>0.0;[Red]0.0</c:formatCode>
                <c:ptCount val="2"/>
                <c:pt idx="0">
                  <c:v>242.4</c:v>
                </c:pt>
                <c:pt idx="1">
                  <c:v>164.2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showVal val="1"/>
          </c:dLbls>
          <c:cat>
            <c:strRef>
              <c:f>Sheet1!$B$5:$AK$5</c:f>
              <c:strCache>
                <c:ptCount val="2"/>
                <c:pt idx="0">
                  <c:v>2017թ.  (1-ին եռամսյակ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Sheet1!$B$8:$AK$8</c:f>
              <c:numCache>
                <c:formatCode>0.00;[Red]0.00</c:formatCode>
                <c:ptCount val="2"/>
                <c:pt idx="0" formatCode="0.0;[Red]0.0">
                  <c:v>4.4000000000000004</c:v>
                </c:pt>
                <c:pt idx="1">
                  <c:v>0.74000000000000143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showVal val="1"/>
          </c:dLbls>
          <c:cat>
            <c:strRef>
              <c:f>Sheet1!$B$5:$AK$5</c:f>
              <c:strCache>
                <c:ptCount val="2"/>
                <c:pt idx="0">
                  <c:v>2017թ.  (1-ին եռամսյակ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Sheet1!$B$9:$AK$9</c:f>
              <c:numCache>
                <c:formatCode>0.0;[Red]0.0</c:formatCode>
                <c:ptCount val="2"/>
                <c:pt idx="0">
                  <c:v>5.8</c:v>
                </c:pt>
                <c:pt idx="1">
                  <c:v>7.8</c:v>
                </c:pt>
              </c:numCache>
            </c:numRef>
          </c:val>
        </c:ser>
        <c:dLbls>
          <c:showVal val="1"/>
        </c:dLbls>
        <c:overlap val="-25"/>
        <c:axId val="45692800"/>
        <c:axId val="45766144"/>
      </c:barChart>
      <c:catAx>
        <c:axId val="45692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5766144"/>
        <c:crosses val="autoZero"/>
        <c:auto val="1"/>
        <c:lblAlgn val="ctr"/>
        <c:lblOffset val="100"/>
      </c:catAx>
      <c:valAx>
        <c:axId val="45766144"/>
        <c:scaling>
          <c:orientation val="minMax"/>
        </c:scaling>
        <c:delete val="1"/>
        <c:axPos val="l"/>
        <c:numFmt formatCode="0.0;[Red]0.0" sourceLinked="1"/>
        <c:tickLblPos val="nextTo"/>
        <c:crossAx val="45692800"/>
        <c:crosses val="autoZero"/>
        <c:crossBetween val="between"/>
      </c:valAx>
    </c:plotArea>
    <c:legend>
      <c:legendPos val="t"/>
      <c:legendEntry>
        <c:idx val="3"/>
        <c:txPr>
          <a:bodyPr/>
          <a:lstStyle/>
          <a:p>
            <a:pPr>
              <a:defRPr sz="7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70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700"/>
            </a:pPr>
            <a:endParaRPr lang="en-US"/>
          </a:p>
        </c:txPr>
      </c:legendEntry>
      <c:legendEntry>
        <c:idx val="0"/>
        <c:txPr>
          <a:bodyPr/>
          <a:lstStyle/>
          <a:p>
            <a:pPr>
              <a:defRPr sz="700"/>
            </a:pPr>
            <a:endParaRPr lang="en-US"/>
          </a:p>
        </c:txPr>
      </c:legendEntry>
      <c:layout>
        <c:manualLayout>
          <c:xMode val="edge"/>
          <c:yMode val="edge"/>
          <c:x val="0"/>
          <c:y val="0.12775510204081633"/>
          <c:w val="0.99850758048351196"/>
          <c:h val="0.14966200653489772"/>
        </c:manualLayout>
      </c:layout>
      <c:txPr>
        <a:bodyPr/>
        <a:lstStyle/>
        <a:p>
          <a:pPr>
            <a:defRPr sz="700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 sz="900" b="1">
                <a:latin typeface="GHEA Grapalat" pitchFamily="50" charset="0"/>
              </a:defRPr>
            </a:pPr>
            <a:r>
              <a:rPr lang="hy-AM"/>
              <a:t>ՀՆԱ </a:t>
            </a:r>
            <a:r>
              <a:rPr lang="en-US"/>
              <a:t>(</a:t>
            </a:r>
            <a:r>
              <a:rPr lang="ru-RU"/>
              <a:t>տարեկան</a:t>
            </a:r>
            <a:r>
              <a:rPr lang="en-US"/>
              <a:t>)</a:t>
            </a:r>
            <a:r>
              <a:rPr lang="hy-AM"/>
              <a:t>, մլն դրամ (շուկայական գներով)
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Лист1!$B$26</c:f>
              <c:strCache>
                <c:ptCount val="1"/>
                <c:pt idx="0">
                  <c:v>ՀՆԱ, մլն դրամ (շուկայական գներով)
</c:v>
                </c:pt>
              </c:strCache>
            </c:strRef>
          </c:tx>
          <c:dLbls>
            <c:dLbl>
              <c:idx val="0"/>
              <c:layout>
                <c:manualLayout>
                  <c:x val="-0.11944444444444446"/>
                  <c:y val="-8.7962962962963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4 525 875,</a:t>
                    </a:r>
                    <a:r>
                      <a:rPr lang="en-US" baseline="0"/>
                      <a:t> </a:t>
                    </a:r>
                    <a:r>
                      <a:rPr lang="en-US"/>
                      <a:t>00 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6111111111111212E-2"/>
                  <c:y val="-5.0925925925925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</a:t>
                    </a:r>
                    <a:r>
                      <a:rPr lang="en-US"/>
                      <a:t>986 309,30 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6111111111111212E-2"/>
                  <c:y val="-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5 067</a:t>
                    </a:r>
                    <a:r>
                      <a:rPr lang="en-US" baseline="0"/>
                      <a:t> </a:t>
                    </a:r>
                    <a:r>
                      <a:rPr lang="en-US"/>
                      <a:t>868, 20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Лист1!$C$25:$E$25</c:f>
              <c:strCache>
                <c:ptCount val="3"/>
                <c:pt idx="0">
                  <c:v>2014թ.</c:v>
                </c:pt>
                <c:pt idx="1">
                  <c:v>2015թ.</c:v>
                </c:pt>
                <c:pt idx="2">
                  <c:v>2016թ.</c:v>
                </c:pt>
              </c:strCache>
            </c:strRef>
          </c:cat>
          <c:val>
            <c:numRef>
              <c:f>Лист1!$C$26:$E$26</c:f>
              <c:numCache>
                <c:formatCode>#,##0.00_р_.;\-#,##0.00_р_.</c:formatCode>
                <c:ptCount val="3"/>
                <c:pt idx="0">
                  <c:v>4525875</c:v>
                </c:pt>
                <c:pt idx="1">
                  <c:v>4986309.3</c:v>
                </c:pt>
                <c:pt idx="2" formatCode="_(* #,##0.0_);_(* \(#,##0.0\);_(* &quot;-&quot;??_);_(@_)">
                  <c:v>5067868.2</c:v>
                </c:pt>
              </c:numCache>
            </c:numRef>
          </c:val>
        </c:ser>
        <c:dLbls>
          <c:showVal val="1"/>
        </c:dLbls>
        <c:marker val="1"/>
        <c:axId val="98927744"/>
        <c:axId val="98929280"/>
      </c:lineChart>
      <c:catAx>
        <c:axId val="98927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98929280"/>
        <c:crosses val="autoZero"/>
        <c:auto val="1"/>
        <c:lblAlgn val="ctr"/>
        <c:lblOffset val="100"/>
      </c:catAx>
      <c:valAx>
        <c:axId val="98929280"/>
        <c:scaling>
          <c:orientation val="minMax"/>
        </c:scaling>
        <c:axPos val="l"/>
        <c:majorGridlines/>
        <c:numFmt formatCode="#,##0.00_р_.;\-#,##0.00_р_.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892774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  <a:endParaRPr lang="ru-RU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Лист1!$B$46</c:f>
              <c:strCache>
                <c:ptCount val="1"/>
                <c:pt idx="0">
                  <c:v>Արդյունաբերական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7.2222222222222424E-2"/>
                  <c:y val="-8.3333333333333343E-2"/>
                </c:manualLayout>
              </c:layout>
              <c:showVal val="1"/>
            </c:dLbl>
            <c:dLbl>
              <c:idx val="1"/>
              <c:layout>
                <c:manualLayout>
                  <c:x val="-5.8333333333333716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5.2777996500437532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1.9444444444444445E-2"/>
                  <c:y val="1.3888888888889018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Лист1!$C$46:$F$46</c:f>
              <c:numCache>
                <c:formatCode>#,##0.00</c:formatCode>
                <c:ptCount val="4"/>
                <c:pt idx="0">
                  <c:v>87916.800000000003</c:v>
                </c:pt>
                <c:pt idx="1">
                  <c:v>87042.9</c:v>
                </c:pt>
                <c:pt idx="2">
                  <c:v>94430.399999999994</c:v>
                </c:pt>
                <c:pt idx="3">
                  <c:v>108122.5</c:v>
                </c:pt>
              </c:numCache>
            </c:numRef>
          </c:val>
        </c:ser>
        <c:ser>
          <c:idx val="1"/>
          <c:order val="1"/>
          <c:tx>
            <c:strRef>
              <c:f>Лист1!$B$47</c:f>
              <c:strCache>
                <c:ptCount val="1"/>
                <c:pt idx="0">
                  <c:v>Գյուղատնտեսության համախառն արտադրանք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-6.944480898221056E-2"/>
                </c:manualLayout>
              </c:layout>
              <c:showVal val="1"/>
            </c:dLbl>
            <c:dLbl>
              <c:idx val="1"/>
              <c:layout>
                <c:manualLayout>
                  <c:x val="-7.2222222222222424E-2"/>
                  <c:y val="-6.4814814814815186E-2"/>
                </c:manualLayout>
              </c:layout>
              <c:showVal val="1"/>
            </c:dLbl>
            <c:dLbl>
              <c:idx val="2"/>
              <c:layout>
                <c:manualLayout>
                  <c:x val="-6.1111111111111192E-2"/>
                  <c:y val="-6.4814814814815186E-2"/>
                </c:manualLayout>
              </c:layout>
              <c:showVal val="1"/>
            </c:dLbl>
            <c:dLbl>
              <c:idx val="3"/>
              <c:layout>
                <c:manualLayout>
                  <c:x val="-4.7222222222222332E-2"/>
                  <c:y val="-6.481517935258092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Лист1!$C$47:$F$47</c:f>
              <c:numCache>
                <c:formatCode>#,##0.00</c:formatCode>
                <c:ptCount val="4"/>
                <c:pt idx="0">
                  <c:v>15952.9</c:v>
                </c:pt>
                <c:pt idx="1">
                  <c:v>16998.599999999922</c:v>
                </c:pt>
                <c:pt idx="2">
                  <c:v>16012.2</c:v>
                </c:pt>
                <c:pt idx="3">
                  <c:v>16016.9</c:v>
                </c:pt>
              </c:numCache>
            </c:numRef>
          </c:val>
        </c:ser>
        <c:ser>
          <c:idx val="2"/>
          <c:order val="2"/>
          <c:tx>
            <c:strRef>
              <c:f>Лист1!$B$48</c:f>
              <c:strCache>
                <c:ptCount val="1"/>
                <c:pt idx="0">
                  <c:v>Իրականացված շինարարության ծավալ</c:v>
                </c:pt>
              </c:strCache>
            </c:strRef>
          </c:tx>
          <c:dLbls>
            <c:dLbl>
              <c:idx val="0"/>
              <c:layout>
                <c:manualLayout>
                  <c:x val="-3.0555555555555582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4.7222440944882024E-2"/>
                  <c:y val="4.629629629629652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88888888888897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Лист1!$C$45:$F$45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Лист1!$C$48:$F$48</c:f>
              <c:numCache>
                <c:formatCode>#,##0.00</c:formatCode>
                <c:ptCount val="4"/>
                <c:pt idx="0">
                  <c:v>7221.1</c:v>
                </c:pt>
                <c:pt idx="1">
                  <c:v>7672</c:v>
                </c:pt>
                <c:pt idx="2">
                  <c:v>8247.6</c:v>
                </c:pt>
                <c:pt idx="3">
                  <c:v>7556.2</c:v>
                </c:pt>
              </c:numCache>
            </c:numRef>
          </c:val>
        </c:ser>
        <c:dLbls>
          <c:showVal val="1"/>
        </c:dLbls>
        <c:marker val="1"/>
        <c:axId val="100897536"/>
        <c:axId val="100899072"/>
      </c:lineChart>
      <c:catAx>
        <c:axId val="100897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ru-RU" sz="600">
                <a:latin typeface="GHEA Grapalat" pitchFamily="50" charset="0"/>
              </a:defRPr>
            </a:pPr>
            <a:endParaRPr lang="en-US"/>
          </a:p>
        </c:txPr>
        <c:crossAx val="100899072"/>
        <c:crossesAt val="0"/>
        <c:auto val="1"/>
        <c:lblAlgn val="ctr"/>
        <c:lblOffset val="100"/>
      </c:catAx>
      <c:valAx>
        <c:axId val="100899072"/>
        <c:scaling>
          <c:orientation val="minMax"/>
          <c:min val="0"/>
        </c:scaling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a:ln>
          </c:spPr>
        </c:majorGridlines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0897536"/>
        <c:crosses val="autoZero"/>
        <c:crossBetween val="between"/>
        <c:minorUnit val="4000"/>
      </c:valAx>
    </c:plotArea>
    <c:legend>
      <c:legendPos val="r"/>
      <c:layout>
        <c:manualLayout>
          <c:xMode val="edge"/>
          <c:yMode val="edge"/>
          <c:x val="0.69269444444444783"/>
          <c:y val="0.15774496937882843"/>
          <c:w val="0.29063888888889011"/>
          <c:h val="0.79550524934383204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000"/>
              <a:t>Իրական աճը  նախորդ տարվա նույն  ժամանակահատվածի նկատմաբ</a:t>
            </a:r>
            <a:r>
              <a:rPr lang="en-US" sz="1000" baseline="0"/>
              <a:t> </a:t>
            </a:r>
            <a:r>
              <a:rPr lang="en-US" sz="1000"/>
              <a:t>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Sheet1!$B$3:$B$4</c:f>
              <c:strCache>
                <c:ptCount val="1"/>
                <c:pt idx="0">
                  <c:v>2014թ. (հունվար)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Sheet1!$A$5:$A$7</c:f>
              <c:strCache>
                <c:ptCount val="3"/>
                <c:pt idx="0">
                  <c:v>Արդյունաբերական արտադրանքի ծավալը</c:v>
                </c:pt>
                <c:pt idx="1">
                  <c:v>Գյուղատնտեսության համախառն արտադրանքը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Sheet1!$B$5:$B$7</c:f>
              <c:numCache>
                <c:formatCode>0.00</c:formatCode>
                <c:ptCount val="3"/>
                <c:pt idx="0">
                  <c:v>96.7</c:v>
                </c:pt>
                <c:pt idx="1">
                  <c:v>101.7</c:v>
                </c:pt>
                <c:pt idx="2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Sheet1!$C$3:$C$4</c:f>
              <c:strCache>
                <c:ptCount val="1"/>
                <c:pt idx="0">
                  <c:v>2015թ.(հունվար)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Sheet1!$A$5:$A$7</c:f>
              <c:strCache>
                <c:ptCount val="3"/>
                <c:pt idx="0">
                  <c:v>Արդյունաբերական արտադրանքի ծավալը</c:v>
                </c:pt>
                <c:pt idx="1">
                  <c:v>Գյուղատնտեսության համախառն արտադրանքը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Sheet1!$C$5:$C$7</c:f>
              <c:numCache>
                <c:formatCode>0.00</c:formatCode>
                <c:ptCount val="3"/>
                <c:pt idx="0">
                  <c:v>93.7</c:v>
                </c:pt>
                <c:pt idx="1">
                  <c:v>101.8</c:v>
                </c:pt>
                <c:pt idx="2">
                  <c:v>102.2</c:v>
                </c:pt>
              </c:numCache>
            </c:numRef>
          </c:val>
        </c:ser>
        <c:ser>
          <c:idx val="2"/>
          <c:order val="2"/>
          <c:tx>
            <c:strRef>
              <c:f>Sheet1!$D$3:$D$4</c:f>
              <c:strCache>
                <c:ptCount val="1"/>
                <c:pt idx="0">
                  <c:v>2016թ.(հունվար)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Sheet1!$A$5:$A$7</c:f>
              <c:strCache>
                <c:ptCount val="3"/>
                <c:pt idx="0">
                  <c:v>Արդյունաբերական արտադրանքի ծավալը</c:v>
                </c:pt>
                <c:pt idx="1">
                  <c:v>Գյուղատնտեսության համախառն արտադրանքը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Sheet1!$D$5:$D$7</c:f>
              <c:numCache>
                <c:formatCode>0.00</c:formatCode>
                <c:ptCount val="3"/>
                <c:pt idx="0">
                  <c:v>114.5</c:v>
                </c:pt>
                <c:pt idx="1">
                  <c:v>101.5</c:v>
                </c:pt>
                <c:pt idx="2">
                  <c:v>105.1</c:v>
                </c:pt>
              </c:numCache>
            </c:numRef>
          </c:val>
        </c:ser>
        <c:dLbls>
          <c:showVal val="1"/>
        </c:dLbls>
        <c:overlap val="-25"/>
        <c:axId val="100926976"/>
        <c:axId val="100928512"/>
      </c:barChart>
      <c:catAx>
        <c:axId val="100926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00928512"/>
        <c:crosses val="autoZero"/>
        <c:auto val="1"/>
        <c:lblAlgn val="ctr"/>
        <c:lblOffset val="100"/>
      </c:catAx>
      <c:valAx>
        <c:axId val="100928512"/>
        <c:scaling>
          <c:orientation val="minMax"/>
        </c:scaling>
        <c:delete val="1"/>
        <c:axPos val="l"/>
        <c:numFmt formatCode="0.00" sourceLinked="1"/>
        <c:tickLblPos val="nextTo"/>
        <c:crossAx val="1009269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Սպառողական գների ինդեքս /%/</a:t>
            </a:r>
          </a:p>
        </c:rich>
      </c:tx>
      <c:layout>
        <c:manualLayout>
          <c:xMode val="edge"/>
          <c:yMode val="edge"/>
          <c:x val="0.28117366579177638"/>
          <c:y val="1.3888888888888966E-2"/>
        </c:manualLayout>
      </c:layout>
    </c:title>
    <c:plotArea>
      <c:layout>
        <c:manualLayout>
          <c:layoutTarget val="inner"/>
          <c:xMode val="edge"/>
          <c:yMode val="edge"/>
          <c:x val="3.0555555555555582E-2"/>
          <c:y val="0.23217993584135321"/>
          <c:w val="0.9388888888888911"/>
          <c:h val="0.6029666083406241"/>
        </c:manualLayout>
      </c:layout>
      <c:barChart>
        <c:barDir val="col"/>
        <c:grouping val="clustered"/>
        <c:ser>
          <c:idx val="0"/>
          <c:order val="0"/>
          <c:tx>
            <c:strRef>
              <c:f>Sheet1!$B$113:$B$114</c:f>
              <c:strCache>
                <c:ptCount val="1"/>
                <c:pt idx="0">
                  <c:v>2014թ. (հունվար)</c:v>
                </c:pt>
              </c:strCache>
            </c:strRef>
          </c:tx>
          <c:dLbls>
            <c:showVal val="1"/>
          </c:dLbls>
          <c:cat>
            <c:strRef>
              <c:f>Sheet1!$A$115:$A$116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Sheet1!$B$115:$B$116</c:f>
              <c:numCache>
                <c:formatCode>0.00</c:formatCode>
                <c:ptCount val="2"/>
                <c:pt idx="0">
                  <c:v>105.5</c:v>
                </c:pt>
                <c:pt idx="1">
                  <c:v>102.8</c:v>
                </c:pt>
              </c:numCache>
            </c:numRef>
          </c:val>
        </c:ser>
        <c:ser>
          <c:idx val="1"/>
          <c:order val="1"/>
          <c:tx>
            <c:strRef>
              <c:f>Sheet1!$C$113:$C$114</c:f>
              <c:strCache>
                <c:ptCount val="1"/>
                <c:pt idx="0">
                  <c:v>2015թ.(հունվար)</c:v>
                </c:pt>
              </c:strCache>
            </c:strRef>
          </c:tx>
          <c:dLbls>
            <c:showVal val="1"/>
          </c:dLbls>
          <c:cat>
            <c:strRef>
              <c:f>Sheet1!$A$115:$A$116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Sheet1!$C$115:$C$116</c:f>
              <c:numCache>
                <c:formatCode>0.00</c:formatCode>
                <c:ptCount val="2"/>
                <c:pt idx="0">
                  <c:v>104.3</c:v>
                </c:pt>
                <c:pt idx="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Sheet1!$D$113:$D$114</c:f>
              <c:strCache>
                <c:ptCount val="1"/>
                <c:pt idx="0">
                  <c:v>2016թ.(հունվար)</c:v>
                </c:pt>
              </c:strCache>
            </c:strRef>
          </c:tx>
          <c:dLbls>
            <c:showVal val="1"/>
          </c:dLbls>
          <c:cat>
            <c:strRef>
              <c:f>Sheet1!$A$115:$A$116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Sheet1!$D$115:$D$116</c:f>
              <c:numCache>
                <c:formatCode>0.00</c:formatCode>
                <c:ptCount val="2"/>
                <c:pt idx="0">
                  <c:v>99.6</c:v>
                </c:pt>
                <c:pt idx="1">
                  <c:v>102.2</c:v>
                </c:pt>
              </c:numCache>
            </c:numRef>
          </c:val>
        </c:ser>
        <c:ser>
          <c:idx val="3"/>
          <c:order val="3"/>
          <c:tx>
            <c:strRef>
              <c:f>Sheet1!$E$113:$E$114</c:f>
              <c:strCache>
                <c:ptCount val="1"/>
                <c:pt idx="0">
                  <c:v>2017թ.(հունվար)</c:v>
                </c:pt>
              </c:strCache>
            </c:strRef>
          </c:tx>
          <c:dLbls>
            <c:showVal val="1"/>
          </c:dLbls>
          <c:cat>
            <c:strRef>
              <c:f>Sheet1!$A$115:$A$116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Sheet1!$E$115:$E$116</c:f>
              <c:numCache>
                <c:formatCode>0.00</c:formatCode>
                <c:ptCount val="2"/>
                <c:pt idx="0">
                  <c:v>99.4</c:v>
                </c:pt>
                <c:pt idx="1">
                  <c:v>102.6</c:v>
                </c:pt>
              </c:numCache>
            </c:numRef>
          </c:val>
        </c:ser>
        <c:dLbls>
          <c:showVal val="1"/>
        </c:dLbls>
        <c:overlap val="-25"/>
        <c:axId val="100956800"/>
        <c:axId val="100966784"/>
      </c:barChart>
      <c:catAx>
        <c:axId val="100956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00966784"/>
        <c:crosses val="autoZero"/>
        <c:auto val="1"/>
        <c:lblAlgn val="ctr"/>
        <c:lblOffset val="100"/>
      </c:catAx>
      <c:valAx>
        <c:axId val="100966784"/>
        <c:scaling>
          <c:orientation val="minMax"/>
        </c:scaling>
        <c:delete val="1"/>
        <c:axPos val="l"/>
        <c:numFmt formatCode="0.00" sourceLinked="1"/>
        <c:majorTickMark val="none"/>
        <c:tickLblPos val="nextTo"/>
        <c:crossAx val="100956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56867891513616E-2"/>
          <c:y val="0.10263888888888889"/>
          <c:w val="0.97177515310586471"/>
          <c:h val="0.10030475357247012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Лист1!$B$148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Лист1!$C$147:$F$147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Лист1!$C$148:$F$148</c:f>
              <c:numCache>
                <c:formatCode>#,##0.00</c:formatCode>
                <c:ptCount val="4"/>
                <c:pt idx="0">
                  <c:v>601856</c:v>
                </c:pt>
                <c:pt idx="1">
                  <c:v>346451</c:v>
                </c:pt>
                <c:pt idx="2">
                  <c:v>484932</c:v>
                </c:pt>
                <c:pt idx="3">
                  <c:v>610057</c:v>
                </c:pt>
              </c:numCache>
            </c:numRef>
          </c:val>
        </c:ser>
        <c:dLbls>
          <c:showVal val="1"/>
        </c:dLbls>
        <c:overlap val="-25"/>
        <c:axId val="100982144"/>
        <c:axId val="101008512"/>
      </c:barChart>
      <c:catAx>
        <c:axId val="100982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01008512"/>
        <c:crosses val="autoZero"/>
        <c:auto val="1"/>
        <c:lblAlgn val="ctr"/>
        <c:lblOffset val="100"/>
      </c:catAx>
      <c:valAx>
        <c:axId val="101008512"/>
        <c:scaling>
          <c:orientation val="minMax"/>
        </c:scaling>
        <c:delete val="1"/>
        <c:axPos val="l"/>
        <c:numFmt formatCode="#,##0.00" sourceLinked="1"/>
        <c:tickLblPos val="nextTo"/>
        <c:crossAx val="10098214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en-US" sz="900" b="1" i="0" baseline="0">
                <a:latin typeface="GHEA Grapalat" pitchFamily="50" charset="0"/>
              </a:rPr>
              <a:t>ՀՀ արտաքին առևտրաշրջանառությունը և առևտրի հաշվեկշիռը 2014-2017թթ. հունվարին (մլն ԱՄՆ դոլար)</a:t>
            </a:r>
            <a:endParaRPr lang="ru-RU" sz="9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228073036431751"/>
          <c:y val="0.18831826390477871"/>
          <c:w val="0.5637241006434438"/>
          <c:h val="0.76416611092146258"/>
        </c:manualLayout>
      </c:layout>
      <c:lineChart>
        <c:grouping val="standard"/>
        <c:ser>
          <c:idx val="0"/>
          <c:order val="0"/>
          <c:tx>
            <c:strRef>
              <c:f>Sheet1!$A$4</c:f>
              <c:strCache>
                <c:ptCount val="1"/>
                <c:pt idx="0">
                  <c:v>Արտաքին առևտրաշրջանառության ծավալը</c:v>
                </c:pt>
              </c:strCache>
            </c:strRef>
          </c:tx>
          <c:dLbls>
            <c:dLbl>
              <c:idx val="1"/>
              <c:layout>
                <c:manualLayout>
                  <c:x val="-1.945974579749388E-2"/>
                  <c:y val="-3.8517439166540608E-2"/>
                </c:manualLayout>
              </c:layout>
              <c:showVal val="1"/>
            </c:dLbl>
            <c:dLbl>
              <c:idx val="3"/>
              <c:layout>
                <c:manualLayout>
                  <c:x val="-6.1159201077837885E-2"/>
                  <c:y val="-5.135658555538741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 </c:v>
                </c:pt>
              </c:strCache>
            </c:strRef>
          </c:cat>
          <c:val>
            <c:numRef>
              <c:f>Sheet1!$B$4:$E$4</c:f>
              <c:numCache>
                <c:formatCode>#,##0.00</c:formatCode>
                <c:ptCount val="4"/>
                <c:pt idx="0">
                  <c:v>391.74</c:v>
                </c:pt>
                <c:pt idx="1">
                  <c:v>281.22000000000003</c:v>
                </c:pt>
                <c:pt idx="2">
                  <c:v>246.46</c:v>
                </c:pt>
                <c:pt idx="3">
                  <c:v>358.7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Առևտրի հաշվեկշիռը</c:v>
                </c:pt>
              </c:strCache>
            </c:strRef>
          </c:tx>
          <c:dLbls>
            <c:dLbl>
              <c:idx val="0"/>
              <c:layout>
                <c:manualLayout>
                  <c:x val="-3.0579600538918991E-2"/>
                  <c:y val="3.4237723703591641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1.6679782112137605E-2"/>
                  <c:y val="5.1356585555387482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-5.8379237392481714E-2"/>
                  <c:y val="5.9915679495815923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2.2239709482850326E-2"/>
                  <c:y val="3.851743916654058E-2"/>
                </c:manualLayout>
              </c:layout>
              <c:spPr/>
              <c:txPr>
                <a:bodyPr/>
                <a:lstStyle/>
                <a:p>
                  <a:pPr>
                    <a:defRPr lang="ru-RU" sz="80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lang="ru-RU" sz="800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Sheet1!$B$3:$E$3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 </c:v>
                </c:pt>
              </c:strCache>
            </c:strRef>
          </c:cat>
          <c:val>
            <c:numRef>
              <c:f>Sheet1!$B$5:$E$5</c:f>
              <c:numCache>
                <c:formatCode>#,##0.00</c:formatCode>
                <c:ptCount val="4"/>
                <c:pt idx="0">
                  <c:v>-197.96</c:v>
                </c:pt>
                <c:pt idx="1">
                  <c:v>-112.31</c:v>
                </c:pt>
                <c:pt idx="2">
                  <c:v>-66.98</c:v>
                </c:pt>
                <c:pt idx="3">
                  <c:v>-115.8</c:v>
                </c:pt>
              </c:numCache>
            </c:numRef>
          </c:val>
        </c:ser>
        <c:dLbls>
          <c:showVal val="1"/>
        </c:dLbls>
        <c:marker val="1"/>
        <c:axId val="101125504"/>
        <c:axId val="101164160"/>
      </c:lineChart>
      <c:catAx>
        <c:axId val="101125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 b="1">
                <a:latin typeface="GHEA Grapalat" pitchFamily="50" charset="0"/>
              </a:defRPr>
            </a:pPr>
            <a:endParaRPr lang="en-US"/>
          </a:p>
        </c:txPr>
        <c:crossAx val="101164160"/>
        <c:crosses val="autoZero"/>
        <c:auto val="1"/>
        <c:lblAlgn val="ctr"/>
        <c:lblOffset val="100"/>
      </c:catAx>
      <c:valAx>
        <c:axId val="101164160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0112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44490363704615"/>
          <c:y val="0.19856700298939844"/>
          <c:w val="0.28287531425081741"/>
          <c:h val="0.73510886484085691"/>
        </c:manualLayout>
      </c:layout>
      <c:txPr>
        <a:bodyPr/>
        <a:lstStyle/>
        <a:p>
          <a:pPr>
            <a:defRPr lang="ru-RU"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/>
            </a:pPr>
            <a:r>
              <a:rPr lang="hy-AM" sz="900">
                <a:latin typeface="GHEA Grapalat" pitchFamily="50" charset="0"/>
              </a:rPr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Лист1!$B$195</c:f>
              <c:strCache>
                <c:ptCount val="1"/>
                <c:pt idx="0">
                  <c:v>Միջին ամսական անվանական աշխատավարձը ժամանակաշրջանի վերջին ամսվա դրությամբ, ըստ տնտեսության հատվածների, դրամ</c:v>
                </c:pt>
              </c:strCache>
            </c:strRef>
          </c:tx>
          <c:dLbls>
            <c:dLbl>
              <c:idx val="0"/>
              <c:layout>
                <c:manualLayout>
                  <c:x val="1.1119854741425125E-2"/>
                  <c:y val="-1.984126984126991E-2"/>
                </c:manualLayout>
              </c:layout>
              <c:showVal val="1"/>
            </c:dLbl>
            <c:dLbl>
              <c:idx val="1"/>
              <c:layout>
                <c:manualLayout>
                  <c:x val="5.5599273707125424E-3"/>
                  <c:y val="1.5873015873015799E-2"/>
                </c:manualLayout>
              </c:layout>
              <c:showVal val="1"/>
            </c:dLbl>
            <c:dLbl>
              <c:idx val="3"/>
              <c:layout>
                <c:manualLayout>
                  <c:x val="-3.8919491594987747E-2"/>
                  <c:y val="-3.968253968253964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Лист1!$C$194:$F$194</c:f>
              <c:strCache>
                <c:ptCount val="4"/>
                <c:pt idx="0">
                  <c:v>2014թ. հունվար</c:v>
                </c:pt>
                <c:pt idx="1">
                  <c:v>2015թ. հունվար</c:v>
                </c:pt>
                <c:pt idx="2">
                  <c:v>2016թ. հունվար</c:v>
                </c:pt>
                <c:pt idx="3">
                  <c:v>2017թ. հունվար</c:v>
                </c:pt>
              </c:strCache>
            </c:strRef>
          </c:cat>
          <c:val>
            <c:numRef>
              <c:f>Лист1!$C$195:$F$195</c:f>
              <c:numCache>
                <c:formatCode>#,##0.00</c:formatCode>
                <c:ptCount val="4"/>
                <c:pt idx="0">
                  <c:v>155940</c:v>
                </c:pt>
                <c:pt idx="1">
                  <c:v>173217</c:v>
                </c:pt>
                <c:pt idx="2">
                  <c:v>177539</c:v>
                </c:pt>
                <c:pt idx="3">
                  <c:v>188572</c:v>
                </c:pt>
              </c:numCache>
            </c:numRef>
          </c:val>
        </c:ser>
        <c:dLbls>
          <c:showVal val="1"/>
        </c:dLbls>
        <c:marker val="1"/>
        <c:axId val="115999872"/>
        <c:axId val="116001408"/>
      </c:lineChart>
      <c:catAx>
        <c:axId val="115999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600">
                <a:latin typeface="GHEA Grapalat" pitchFamily="50" charset="0"/>
              </a:defRPr>
            </a:pPr>
            <a:endParaRPr lang="en-US"/>
          </a:p>
        </c:txPr>
        <c:crossAx val="116001408"/>
        <c:crosses val="autoZero"/>
        <c:auto val="1"/>
        <c:lblAlgn val="ctr"/>
        <c:lblOffset val="100"/>
      </c:catAx>
      <c:valAx>
        <c:axId val="116001408"/>
        <c:scaling>
          <c:orientation val="minMax"/>
          <c:min val="150000"/>
        </c:scaling>
        <c:axPos val="l"/>
        <c:majorGridlines/>
        <c:numFmt formatCode="#,##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15999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Sheet2!$B$5</c:f>
              <c:strCache>
                <c:ptCount val="1"/>
                <c:pt idx="0">
                  <c:v>2008 /÷³ëï./ »é³ÙëÛ³Ï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Sheet2!$B$6:$B$11</c:f>
            </c:numRef>
          </c:val>
        </c:ser>
        <c:ser>
          <c:idx val="1"/>
          <c:order val="1"/>
          <c:tx>
            <c:strRef>
              <c:f>Sheet2!$C$5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Sheet2!$C$6:$C$11</c:f>
            </c:numRef>
          </c:val>
        </c:ser>
        <c:ser>
          <c:idx val="2"/>
          <c:order val="2"/>
          <c:tx>
            <c:strRef>
              <c:f>Sheet2!$D$5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Sheet2!$D$6:$D$11</c:f>
            </c:numRef>
          </c:val>
        </c:ser>
        <c:ser>
          <c:idx val="3"/>
          <c:order val="3"/>
          <c:tx>
            <c:strRef>
              <c:f>Sheet2!$E$5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Sheet2!$E$6:$E$11</c:f>
            </c:numRef>
          </c:val>
        </c:ser>
        <c:ser>
          <c:idx val="4"/>
          <c:order val="4"/>
          <c:tx>
            <c:strRef>
              <c:f>Sheet2!$F$5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Sheet2!$F$6:$F$11</c:f>
            </c:numRef>
          </c:val>
        </c:ser>
        <c:ser>
          <c:idx val="5"/>
          <c:order val="5"/>
          <c:tx>
            <c:strRef>
              <c:f>Sheet2!$G$5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Sheet2!$G$6:$G$11</c:f>
            </c:numRef>
          </c:val>
        </c:ser>
        <c:ser>
          <c:idx val="6"/>
          <c:order val="6"/>
          <c:tx>
            <c:strRef>
              <c:f>Sheet2!$H$5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Sheet2!$H$6:$H$11</c:f>
            </c:numRef>
          </c:val>
        </c:ser>
        <c:ser>
          <c:idx val="7"/>
          <c:order val="7"/>
          <c:tx>
            <c:strRef>
              <c:f>Sheet2!$I$5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Sheet2!$I$6:$I$11</c:f>
            </c:numRef>
          </c:val>
        </c:ser>
        <c:ser>
          <c:idx val="8"/>
          <c:order val="8"/>
          <c:tx>
            <c:strRef>
              <c:f>Sheet2!$J$5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Sheet2!$J$6:$J$11</c:f>
            </c:numRef>
          </c:val>
        </c:ser>
        <c:ser>
          <c:idx val="9"/>
          <c:order val="9"/>
          <c:tx>
            <c:strRef>
              <c:f>Sheet2!$K$5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Sheet2!$K$6:$K$11</c:f>
            </c:numRef>
          </c:val>
        </c:ser>
        <c:ser>
          <c:idx val="10"/>
          <c:order val="10"/>
          <c:tx>
            <c:strRef>
              <c:f>Sheet2!$L$5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Sheet2!$L$6:$L$11</c:f>
            </c:numRef>
          </c:val>
        </c:ser>
        <c:ser>
          <c:idx val="11"/>
          <c:order val="11"/>
          <c:tx>
            <c:strRef>
              <c:f>Sheet2!$M$5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Sheet2!$M$6:$M$11</c:f>
            </c:numRef>
          </c:val>
        </c:ser>
        <c:ser>
          <c:idx val="12"/>
          <c:order val="12"/>
          <c:tx>
            <c:strRef>
              <c:f>Sheet2!$N$5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Sheet2!$N$6:$N$11</c:f>
            </c:numRef>
          </c:val>
        </c:ser>
        <c:ser>
          <c:idx val="13"/>
          <c:order val="13"/>
          <c:tx>
            <c:strRef>
              <c:f>Sheet2!$O$5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Sheet2!$O$6:$O$11</c:f>
            </c:numRef>
          </c:val>
        </c:ser>
        <c:ser>
          <c:idx val="14"/>
          <c:order val="14"/>
          <c:tx>
            <c:strRef>
              <c:f>Sheet2!$P$5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Sheet2!$P$6:$P$11</c:f>
            </c:numRef>
          </c:val>
        </c:ser>
        <c:ser>
          <c:idx val="15"/>
          <c:order val="15"/>
          <c:tx>
            <c:strRef>
              <c:f>Sheet2!$Q$5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Sheet2!$Q$6:$Q$11</c:f>
            </c:numRef>
          </c:val>
        </c:ser>
        <c:ser>
          <c:idx val="16"/>
          <c:order val="16"/>
          <c:tx>
            <c:strRef>
              <c:f>Sheet2!$R$5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Sheet2!$R$6:$R$11</c:f>
            </c:numRef>
          </c:val>
        </c:ser>
        <c:ser>
          <c:idx val="17"/>
          <c:order val="17"/>
          <c:tx>
            <c:strRef>
              <c:f>Sheet2!$S$5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Sheet2!$S$6:$S$11</c:f>
            </c:numRef>
          </c:val>
        </c:ser>
        <c:ser>
          <c:idx val="18"/>
          <c:order val="18"/>
          <c:tx>
            <c:strRef>
              <c:f>Sheet2!$T$5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Sheet2!$T$6:$T$11</c:f>
            </c:numRef>
          </c:val>
        </c:ser>
        <c:ser>
          <c:idx val="19"/>
          <c:order val="19"/>
          <c:tx>
            <c:strRef>
              <c:f>Sheet2!$U$5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Sheet2!$U$6:$U$11</c:f>
            </c:numRef>
          </c:val>
        </c:ser>
        <c:ser>
          <c:idx val="20"/>
          <c:order val="20"/>
          <c:tx>
            <c:strRef>
              <c:f>Sheet2!$V$5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Sheet2!$V$6:$V$11</c:f>
            </c:numRef>
          </c:val>
        </c:ser>
        <c:ser>
          <c:idx val="21"/>
          <c:order val="21"/>
          <c:tx>
            <c:strRef>
              <c:f>Sheet2!$W$5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Sheet2!$W$6:$W$11</c:f>
            </c:numRef>
          </c:val>
        </c:ser>
        <c:ser>
          <c:idx val="22"/>
          <c:order val="22"/>
          <c:tx>
            <c:strRef>
              <c:f>Sheet2!$X$5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Sheet2!$X$6:$X$11</c:f>
            </c:numRef>
          </c:val>
        </c:ser>
        <c:ser>
          <c:idx val="23"/>
          <c:order val="23"/>
          <c:tx>
            <c:strRef>
              <c:f>Sheet2!$Y$5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Sheet2!$Y$6:$Y$11</c:f>
            </c:numRef>
          </c:val>
        </c:ser>
        <c:ser>
          <c:idx val="24"/>
          <c:order val="24"/>
          <c:tx>
            <c:strRef>
              <c:f>Sheet2!$Z$5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Sheet2!$Z$6:$Z$11</c:f>
            </c:numRef>
          </c:val>
        </c:ser>
        <c:ser>
          <c:idx val="25"/>
          <c:order val="25"/>
          <c:tx>
            <c:strRef>
              <c:f>Sheet2!$AA$5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Sheet2!$AA$6:$AA$11</c:f>
            </c:numRef>
          </c:val>
        </c:ser>
        <c:ser>
          <c:idx val="26"/>
          <c:order val="26"/>
          <c:tx>
            <c:strRef>
              <c:f>Sheet2!$AB$5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Sheet2!$AB$6:$AB$11</c:f>
            </c:numRef>
          </c:val>
        </c:ser>
        <c:ser>
          <c:idx val="27"/>
          <c:order val="27"/>
          <c:tx>
            <c:strRef>
              <c:f>Sheet2!$AC$5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Sheet2!$AC$6:$AC$11</c:f>
            </c:numRef>
          </c:val>
        </c:ser>
        <c:ser>
          <c:idx val="28"/>
          <c:order val="28"/>
          <c:tx>
            <c:strRef>
              <c:f>Sheet2!$AD$5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Sheet2!$AD$6:$AD$11</c:f>
            </c:numRef>
          </c:val>
        </c:ser>
        <c:ser>
          <c:idx val="29"/>
          <c:order val="29"/>
          <c:tx>
            <c:strRef>
              <c:f>Sheet2!$AE$5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Sheet2!$AE$6:$AE$11</c:f>
            </c:numRef>
          </c:val>
        </c:ser>
        <c:ser>
          <c:idx val="30"/>
          <c:order val="30"/>
          <c:tx>
            <c:strRef>
              <c:f>Sheet2!$AF$5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Sheet2!$AF$6:$AF$11</c:f>
            </c:numRef>
          </c:val>
        </c:ser>
        <c:ser>
          <c:idx val="31"/>
          <c:order val="31"/>
          <c:tx>
            <c:strRef>
              <c:f>Sheet2!$AG$5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Sheet2!$AG$6:$AG$11</c:f>
            </c:numRef>
          </c:val>
        </c:ser>
        <c:ser>
          <c:idx val="32"/>
          <c:order val="32"/>
          <c:tx>
            <c:strRef>
              <c:f>Sheet2!$AH$5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Sheet2!$AH$6:$AH$11</c:f>
            </c:numRef>
          </c:val>
        </c:ser>
        <c:ser>
          <c:idx val="33"/>
          <c:order val="33"/>
          <c:tx>
            <c:strRef>
              <c:f>Sheet2!$AI$5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Sheet2!$AI$6:$AI$11</c:f>
            </c:numRef>
          </c:val>
        </c:ser>
        <c:ser>
          <c:idx val="34"/>
          <c:order val="34"/>
          <c:tx>
            <c:strRef>
              <c:f>Sheet2!$AJ$5</c:f>
              <c:strCache>
                <c:ptCount val="1"/>
                <c:pt idx="0">
                  <c:v>2014թ. </c:v>
                </c:pt>
              </c:strCache>
            </c:strRef>
          </c:tx>
          <c:dLbls>
            <c:dLbl>
              <c:idx val="2"/>
              <c:layout>
                <c:manualLayout>
                  <c:x val="-8.2364434302257591E-3"/>
                  <c:y val="-8.7943353371255411E-17"/>
                </c:manualLayout>
              </c:layout>
              <c:showVal val="1"/>
            </c:dLbl>
            <c:txPr>
              <a:bodyPr/>
              <a:lstStyle/>
              <a:p>
                <a:pPr>
                  <a:defRPr sz="650"/>
                </a:pPr>
                <a:endParaRPr lang="en-US"/>
              </a:p>
            </c:txPr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Sheet2!$AJ$6:$AJ$11</c:f>
              <c:numCache>
                <c:formatCode>0.0;[Red]0.0</c:formatCode>
                <c:ptCount val="6"/>
                <c:pt idx="0">
                  <c:v>67.5</c:v>
                </c:pt>
                <c:pt idx="1">
                  <c:v>6</c:v>
                </c:pt>
                <c:pt idx="2">
                  <c:v>10.6</c:v>
                </c:pt>
                <c:pt idx="3">
                  <c:v>40.9</c:v>
                </c:pt>
                <c:pt idx="4">
                  <c:v>6.5</c:v>
                </c:pt>
                <c:pt idx="5">
                  <c:v>0.70000000000000062</c:v>
                </c:pt>
              </c:numCache>
            </c:numRef>
          </c:val>
        </c:ser>
        <c:ser>
          <c:idx val="35"/>
          <c:order val="35"/>
          <c:tx>
            <c:strRef>
              <c:f>Sheet2!$AK$5</c:f>
              <c:strCache>
                <c:ptCount val="1"/>
                <c:pt idx="0">
                  <c:v>2015թ.</c:v>
                </c:pt>
              </c:strCache>
            </c:strRef>
          </c:tx>
          <c:dLbls>
            <c:dLbl>
              <c:idx val="2"/>
              <c:layout>
                <c:manualLayout>
                  <c:x val="-5.1910177894429884E-3"/>
                  <c:y val="-4.7969003874514873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Sheet2!$AK$6:$AK$11</c:f>
              <c:numCache>
                <c:formatCode>0.0;[Red]0.0</c:formatCode>
                <c:ptCount val="6"/>
                <c:pt idx="0">
                  <c:v>63.7</c:v>
                </c:pt>
                <c:pt idx="1">
                  <c:v>6.7</c:v>
                </c:pt>
                <c:pt idx="2">
                  <c:v>11.2</c:v>
                </c:pt>
                <c:pt idx="3">
                  <c:v>46.4</c:v>
                </c:pt>
                <c:pt idx="4">
                  <c:v>9</c:v>
                </c:pt>
                <c:pt idx="5">
                  <c:v>0.5</c:v>
                </c:pt>
              </c:numCache>
            </c:numRef>
          </c:val>
        </c:ser>
        <c:ser>
          <c:idx val="36"/>
          <c:order val="36"/>
          <c:tx>
            <c:strRef>
              <c:f>Sheet2!$AL$5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/>
              <a:lstStyle/>
              <a:p>
                <a:pPr>
                  <a:defRPr sz="650"/>
                </a:pPr>
                <a:endParaRPr lang="en-US"/>
              </a:p>
            </c:txPr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Sheet2!$AL$6:$AL$11</c:f>
              <c:numCache>
                <c:formatCode>0.0;[Red]0.0</c:formatCode>
                <c:ptCount val="6"/>
                <c:pt idx="0">
                  <c:v>58.8</c:v>
                </c:pt>
                <c:pt idx="1">
                  <c:v>7.4</c:v>
                </c:pt>
                <c:pt idx="2">
                  <c:v>13.1</c:v>
                </c:pt>
                <c:pt idx="3">
                  <c:v>48.1</c:v>
                </c:pt>
                <c:pt idx="4">
                  <c:v>6.8</c:v>
                </c:pt>
                <c:pt idx="5">
                  <c:v>0.5</c:v>
                </c:pt>
              </c:numCache>
            </c:numRef>
          </c:val>
        </c:ser>
        <c:ser>
          <c:idx val="37"/>
          <c:order val="37"/>
          <c:tx>
            <c:strRef>
              <c:f>Sheet2!$AM$5</c:f>
              <c:strCache>
                <c:ptCount val="1"/>
                <c:pt idx="0">
                  <c:v>2017թ.</c:v>
                </c:pt>
              </c:strCache>
            </c:strRef>
          </c:tx>
          <c:dLbls>
            <c:dLbl>
              <c:idx val="2"/>
              <c:layout>
                <c:manualLayout>
                  <c:x val="7.9365079365079413E-3"/>
                  <c:y val="4.535147392290266E-3"/>
                </c:manualLayout>
              </c:layout>
              <c:showVal val="1"/>
            </c:dLbl>
            <c:dLbl>
              <c:idx val="5"/>
              <c:layout>
                <c:manualLayout>
                  <c:x val="1.07095046854083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650"/>
                </a:pPr>
                <a:endParaRPr lang="en-US"/>
              </a:p>
            </c:txPr>
            <c:showVal val="1"/>
          </c:dLbls>
          <c:cat>
            <c:strRef>
              <c:f>Sheet2!$A$6:$A$11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Sheet2!$AM$6:$AM$11</c:f>
              <c:numCache>
                <c:formatCode>0.0;[Red]0.0</c:formatCode>
                <c:ptCount val="6"/>
                <c:pt idx="0">
                  <c:v>66</c:v>
                </c:pt>
                <c:pt idx="1">
                  <c:v>10.5</c:v>
                </c:pt>
                <c:pt idx="2">
                  <c:v>11.9</c:v>
                </c:pt>
                <c:pt idx="3">
                  <c:v>49.7</c:v>
                </c:pt>
                <c:pt idx="4">
                  <c:v>7.9</c:v>
                </c:pt>
                <c:pt idx="5" formatCode="0.00;[Red]0.00">
                  <c:v>0.60000000000000064</c:v>
                </c:pt>
              </c:numCache>
            </c:numRef>
          </c:val>
        </c:ser>
        <c:dLbls>
          <c:showVal val="1"/>
        </c:dLbls>
        <c:overlap val="-25"/>
        <c:axId val="77934976"/>
        <c:axId val="77936512"/>
      </c:barChart>
      <c:catAx>
        <c:axId val="77934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70" b="1"/>
            </a:pPr>
            <a:endParaRPr lang="en-US"/>
          </a:p>
        </c:txPr>
        <c:crossAx val="77936512"/>
        <c:crosses val="autoZero"/>
        <c:auto val="1"/>
        <c:lblAlgn val="ctr"/>
        <c:lblOffset val="100"/>
      </c:catAx>
      <c:valAx>
        <c:axId val="77936512"/>
        <c:scaling>
          <c:orientation val="minMax"/>
        </c:scaling>
        <c:delete val="1"/>
        <c:axPos val="l"/>
        <c:numFmt formatCode="0.0;[Red]0.0" sourceLinked="1"/>
        <c:majorTickMark val="none"/>
        <c:tickLblPos val="nextTo"/>
        <c:crossAx val="779349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Sheet3!$B$5</c:f>
              <c:strCache>
                <c:ptCount val="1"/>
                <c:pt idx="0">
                  <c:v>2008 /÷³ëï./ »é³ÙëÛ³Ï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Sheet3!$B$6:$B$10</c:f>
            </c:numRef>
          </c:val>
        </c:ser>
        <c:ser>
          <c:idx val="1"/>
          <c:order val="1"/>
          <c:tx>
            <c:strRef>
              <c:f>Sheet3!$C$5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Sheet3!$C$6:$C$10</c:f>
            </c:numRef>
          </c:val>
        </c:ser>
        <c:ser>
          <c:idx val="2"/>
          <c:order val="2"/>
          <c:tx>
            <c:strRef>
              <c:f>Sheet3!$D$5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Sheet3!$D$6:$D$10</c:f>
            </c:numRef>
          </c:val>
        </c:ser>
        <c:ser>
          <c:idx val="3"/>
          <c:order val="3"/>
          <c:tx>
            <c:strRef>
              <c:f>Sheet3!$E$5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Sheet3!$E$6:$E$10</c:f>
            </c:numRef>
          </c:val>
        </c:ser>
        <c:ser>
          <c:idx val="4"/>
          <c:order val="4"/>
          <c:tx>
            <c:strRef>
              <c:f>Sheet3!$F$5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Sheet3!$F$6:$F$10</c:f>
            </c:numRef>
          </c:val>
        </c:ser>
        <c:ser>
          <c:idx val="5"/>
          <c:order val="5"/>
          <c:tx>
            <c:strRef>
              <c:f>Sheet3!$G$5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Sheet3!$G$6:$G$10</c:f>
            </c:numRef>
          </c:val>
        </c:ser>
        <c:ser>
          <c:idx val="6"/>
          <c:order val="6"/>
          <c:tx>
            <c:strRef>
              <c:f>Sheet3!$H$5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Sheet3!$H$6:$H$10</c:f>
            </c:numRef>
          </c:val>
        </c:ser>
        <c:ser>
          <c:idx val="7"/>
          <c:order val="7"/>
          <c:tx>
            <c:strRef>
              <c:f>Sheet3!$I$5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Sheet3!$I$6:$I$10</c:f>
            </c:numRef>
          </c:val>
        </c:ser>
        <c:ser>
          <c:idx val="8"/>
          <c:order val="8"/>
          <c:tx>
            <c:strRef>
              <c:f>Sheet3!$J$5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Sheet3!$J$6:$J$10</c:f>
            </c:numRef>
          </c:val>
        </c:ser>
        <c:ser>
          <c:idx val="9"/>
          <c:order val="9"/>
          <c:tx>
            <c:strRef>
              <c:f>Sheet3!$K$5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Sheet3!$K$6:$K$10</c:f>
            </c:numRef>
          </c:val>
        </c:ser>
        <c:ser>
          <c:idx val="10"/>
          <c:order val="10"/>
          <c:tx>
            <c:strRef>
              <c:f>Sheet3!$L$5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Sheet3!$L$6:$L$10</c:f>
            </c:numRef>
          </c:val>
        </c:ser>
        <c:ser>
          <c:idx val="11"/>
          <c:order val="11"/>
          <c:tx>
            <c:strRef>
              <c:f>Sheet3!$M$5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Sheet3!$M$6:$M$10</c:f>
            </c:numRef>
          </c:val>
        </c:ser>
        <c:ser>
          <c:idx val="12"/>
          <c:order val="12"/>
          <c:tx>
            <c:strRef>
              <c:f>Sheet3!$N$5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Sheet3!$N$6:$N$10</c:f>
            </c:numRef>
          </c:val>
        </c:ser>
        <c:ser>
          <c:idx val="13"/>
          <c:order val="13"/>
          <c:tx>
            <c:strRef>
              <c:f>Sheet3!$O$5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Sheet3!$O$6:$O$10</c:f>
            </c:numRef>
          </c:val>
        </c:ser>
        <c:ser>
          <c:idx val="14"/>
          <c:order val="14"/>
          <c:tx>
            <c:strRef>
              <c:f>Sheet3!$P$5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Sheet3!$P$6:$P$10</c:f>
            </c:numRef>
          </c:val>
        </c:ser>
        <c:ser>
          <c:idx val="15"/>
          <c:order val="15"/>
          <c:tx>
            <c:strRef>
              <c:f>Sheet3!$Q$5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Sheet3!$Q$6:$Q$10</c:f>
            </c:numRef>
          </c:val>
        </c:ser>
        <c:ser>
          <c:idx val="16"/>
          <c:order val="16"/>
          <c:tx>
            <c:strRef>
              <c:f>Sheet3!$R$5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Sheet3!$R$6:$R$10</c:f>
            </c:numRef>
          </c:val>
        </c:ser>
        <c:ser>
          <c:idx val="17"/>
          <c:order val="17"/>
          <c:tx>
            <c:strRef>
              <c:f>Sheet3!$S$5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Sheet3!$S$6:$S$10</c:f>
            </c:numRef>
          </c:val>
        </c:ser>
        <c:ser>
          <c:idx val="18"/>
          <c:order val="18"/>
          <c:tx>
            <c:strRef>
              <c:f>Sheet3!$T$5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Sheet3!$T$6:$T$10</c:f>
            </c:numRef>
          </c:val>
        </c:ser>
        <c:ser>
          <c:idx val="19"/>
          <c:order val="19"/>
          <c:tx>
            <c:strRef>
              <c:f>Sheet3!$U$5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Sheet3!$U$6:$U$10</c:f>
            </c:numRef>
          </c:val>
        </c:ser>
        <c:ser>
          <c:idx val="20"/>
          <c:order val="20"/>
          <c:tx>
            <c:strRef>
              <c:f>Sheet3!$V$5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Sheet3!$V$6:$V$10</c:f>
            </c:numRef>
          </c:val>
        </c:ser>
        <c:ser>
          <c:idx val="21"/>
          <c:order val="21"/>
          <c:tx>
            <c:strRef>
              <c:f>Sheet3!$W$5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Sheet3!$W$6:$W$10</c:f>
            </c:numRef>
          </c:val>
        </c:ser>
        <c:ser>
          <c:idx val="22"/>
          <c:order val="22"/>
          <c:tx>
            <c:strRef>
              <c:f>Sheet3!$X$5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Sheet3!$X$6:$X$10</c:f>
            </c:numRef>
          </c:val>
        </c:ser>
        <c:ser>
          <c:idx val="23"/>
          <c:order val="23"/>
          <c:tx>
            <c:strRef>
              <c:f>Sheet3!$Y$5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Sheet3!$Y$6:$Y$10</c:f>
            </c:numRef>
          </c:val>
        </c:ser>
        <c:ser>
          <c:idx val="24"/>
          <c:order val="24"/>
          <c:tx>
            <c:strRef>
              <c:f>Sheet3!$Z$5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Sheet3!$Z$6:$Z$10</c:f>
            </c:numRef>
          </c:val>
        </c:ser>
        <c:ser>
          <c:idx val="25"/>
          <c:order val="25"/>
          <c:tx>
            <c:strRef>
              <c:f>Sheet3!$AA$5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Sheet3!$AA$6:$AA$10</c:f>
            </c:numRef>
          </c:val>
        </c:ser>
        <c:ser>
          <c:idx val="26"/>
          <c:order val="26"/>
          <c:tx>
            <c:strRef>
              <c:f>Sheet3!$AB$5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Sheet3!$AB$6:$AB$10</c:f>
            </c:numRef>
          </c:val>
        </c:ser>
        <c:ser>
          <c:idx val="27"/>
          <c:order val="27"/>
          <c:tx>
            <c:strRef>
              <c:f>Sheet3!$AC$5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Sheet3!$AC$6:$AC$10</c:f>
            </c:numRef>
          </c:val>
        </c:ser>
        <c:ser>
          <c:idx val="28"/>
          <c:order val="28"/>
          <c:tx>
            <c:strRef>
              <c:f>Sheet3!$AD$5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Sheet3!$AD$6:$AD$10</c:f>
            </c:numRef>
          </c:val>
        </c:ser>
        <c:ser>
          <c:idx val="29"/>
          <c:order val="29"/>
          <c:tx>
            <c:strRef>
              <c:f>Sheet3!$AE$5</c:f>
              <c:strCache>
                <c:ptCount val="1"/>
                <c:pt idx="0">
                  <c:v>2008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Sheet3!$AE$6:$AE$10</c:f>
            </c:numRef>
          </c:val>
        </c:ser>
        <c:ser>
          <c:idx val="30"/>
          <c:order val="30"/>
          <c:tx>
            <c:strRef>
              <c:f>Sheet3!$AF$5</c:f>
              <c:strCache>
                <c:ptCount val="1"/>
                <c:pt idx="0">
                  <c:v>2009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Sheet3!$AF$6:$AF$10</c:f>
            </c:numRef>
          </c:val>
        </c:ser>
        <c:ser>
          <c:idx val="31"/>
          <c:order val="31"/>
          <c:tx>
            <c:strRef>
              <c:f>Sheet3!$AG$5</c:f>
              <c:strCache>
                <c:ptCount val="1"/>
                <c:pt idx="0">
                  <c:v>2010    /÷³ëï./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Sheet3!$AG$6:$AG$10</c:f>
            </c:numRef>
          </c:val>
        </c:ser>
        <c:ser>
          <c:idx val="32"/>
          <c:order val="32"/>
          <c:tx>
            <c:strRef>
              <c:f>Sheet3!$AH$5</c:f>
              <c:strCache>
                <c:ptCount val="1"/>
                <c:pt idx="0">
                  <c:v>2010Ã,Ý          2008Ã,-Ç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Sheet3!$AH$6:$AH$10</c:f>
            </c:numRef>
          </c:val>
        </c:ser>
        <c:ser>
          <c:idx val="33"/>
          <c:order val="33"/>
          <c:tx>
            <c:strRef>
              <c:f>Sheet3!$AI$5</c:f>
              <c:strCache>
                <c:ptCount val="1"/>
                <c:pt idx="0">
                  <c:v>2010Ã,Ý          2009Ã,-Ç ÝÏ³ïÙ, /%/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Sheet3!$AI$6:$AI$10</c:f>
            </c:numRef>
          </c:val>
        </c:ser>
        <c:ser>
          <c:idx val="34"/>
          <c:order val="34"/>
          <c:tx>
            <c:strRef>
              <c:f>Sheet3!$AJ$5</c:f>
              <c:strCache>
                <c:ptCount val="1"/>
                <c:pt idx="0">
                  <c:v>2014թ.  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Sheet3!$AJ$6:$AJ$10</c:f>
              <c:numCache>
                <c:formatCode>0.0;[Red]0.0</c:formatCode>
                <c:ptCount val="5"/>
                <c:pt idx="0">
                  <c:v>4.0999999999999996</c:v>
                </c:pt>
                <c:pt idx="1">
                  <c:v>2.7</c:v>
                </c:pt>
                <c:pt idx="2">
                  <c:v>0</c:v>
                </c:pt>
                <c:pt idx="3">
                  <c:v>3.3</c:v>
                </c:pt>
                <c:pt idx="4">
                  <c:v>4.3</c:v>
                </c:pt>
              </c:numCache>
            </c:numRef>
          </c:val>
        </c:ser>
        <c:ser>
          <c:idx val="35"/>
          <c:order val="35"/>
          <c:tx>
            <c:strRef>
              <c:f>Sheet3!$AK$5</c:f>
              <c:strCache>
                <c:ptCount val="1"/>
                <c:pt idx="0">
                  <c:v>2015թ.  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Sheet3!$AK$6:$AK$10</c:f>
              <c:numCache>
                <c:formatCode>0.0;[Red]0.0</c:formatCode>
                <c:ptCount val="5"/>
                <c:pt idx="0">
                  <c:v>4.0999999999999996</c:v>
                </c:pt>
                <c:pt idx="1">
                  <c:v>1.9000000000000001</c:v>
                </c:pt>
                <c:pt idx="2">
                  <c:v>1.3</c:v>
                </c:pt>
                <c:pt idx="3">
                  <c:v>4.2</c:v>
                </c:pt>
                <c:pt idx="4">
                  <c:v>3.6</c:v>
                </c:pt>
              </c:numCache>
            </c:numRef>
          </c:val>
        </c:ser>
        <c:ser>
          <c:idx val="36"/>
          <c:order val="36"/>
          <c:tx>
            <c:strRef>
              <c:f>Sheet3!$AL$5</c:f>
              <c:strCache>
                <c:ptCount val="1"/>
                <c:pt idx="0">
                  <c:v>2016թ.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Sheet3!$AL$6:$AL$10</c:f>
              <c:numCache>
                <c:formatCode>0.0;[Red]0.0</c:formatCode>
                <c:ptCount val="5"/>
                <c:pt idx="0">
                  <c:v>2</c:v>
                </c:pt>
                <c:pt idx="1">
                  <c:v>2.5</c:v>
                </c:pt>
                <c:pt idx="2">
                  <c:v>1.7</c:v>
                </c:pt>
                <c:pt idx="3">
                  <c:v>5</c:v>
                </c:pt>
                <c:pt idx="4">
                  <c:v>3.7</c:v>
                </c:pt>
              </c:numCache>
            </c:numRef>
          </c:val>
        </c:ser>
        <c:ser>
          <c:idx val="37"/>
          <c:order val="37"/>
          <c:tx>
            <c:strRef>
              <c:f>Sheet3!$AM$5</c:f>
              <c:strCache>
                <c:ptCount val="1"/>
                <c:pt idx="0">
                  <c:v>2017թ. </c:v>
                </c:pt>
              </c:strCache>
            </c:strRef>
          </c:tx>
          <c:dLbls>
            <c:showVal val="1"/>
          </c:dLbls>
          <c:cat>
            <c:strRef>
              <c:f>Sheet3!$A$6:$A$10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Sheet3!$AM$6:$AM$10</c:f>
              <c:numCache>
                <c:formatCode>0.0;[Red]0.0</c:formatCode>
                <c:ptCount val="5"/>
                <c:pt idx="0">
                  <c:v>5.3</c:v>
                </c:pt>
                <c:pt idx="1">
                  <c:v>3</c:v>
                </c:pt>
                <c:pt idx="2">
                  <c:v>2.1</c:v>
                </c:pt>
                <c:pt idx="3">
                  <c:v>3.5</c:v>
                </c:pt>
                <c:pt idx="4">
                  <c:v>3.5</c:v>
                </c:pt>
              </c:numCache>
            </c:numRef>
          </c:val>
        </c:ser>
        <c:dLbls>
          <c:showVal val="1"/>
        </c:dLbls>
        <c:axId val="83249024"/>
        <c:axId val="83250560"/>
      </c:barChart>
      <c:catAx>
        <c:axId val="832490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83250560"/>
        <c:crosses val="autoZero"/>
        <c:auto val="1"/>
        <c:lblAlgn val="ctr"/>
        <c:lblOffset val="100"/>
      </c:catAx>
      <c:valAx>
        <c:axId val="83250560"/>
        <c:scaling>
          <c:orientation val="minMax"/>
        </c:scaling>
        <c:delete val="1"/>
        <c:axPos val="l"/>
        <c:numFmt formatCode="0.0;[Red]0.0" sourceLinked="1"/>
        <c:majorTickMark val="none"/>
        <c:tickLblPos val="nextTo"/>
        <c:crossAx val="832490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/մլրդ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43480898221055908"/>
          <c:w val="0.93888888888889066"/>
          <c:h val="0.41960848643919518"/>
        </c:manualLayout>
      </c:layout>
      <c:barChart>
        <c:barDir val="col"/>
        <c:grouping val="clustered"/>
        <c:ser>
          <c:idx val="0"/>
          <c:order val="0"/>
          <c:tx>
            <c:strRef>
              <c:f>Sheet4!$A$6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Sheet4!$B$5:$AM$5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Sheet4!$B$6:$AM$6</c:f>
              <c:numCache>
                <c:formatCode>0.0;[Red]0.0</c:formatCode>
                <c:ptCount val="4"/>
                <c:pt idx="0">
                  <c:v>0</c:v>
                </c:pt>
                <c:pt idx="1">
                  <c:v>0.2</c:v>
                </c:pt>
                <c:pt idx="2" formatCode="0.00;[Red]0.00">
                  <c:v>4.0000000000000022E-2</c:v>
                </c:pt>
                <c:pt idx="3" formatCode="0.00;[Red]0.00">
                  <c:v>0.74000000000000143</c:v>
                </c:pt>
              </c:numCache>
            </c:numRef>
          </c:val>
        </c:ser>
        <c:ser>
          <c:idx val="1"/>
          <c:order val="1"/>
          <c:tx>
            <c:strRef>
              <c:f>Sheet4!$A$7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Sheet4!$B$5:$AM$5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Sheet4!$B$7:$AM$7</c:f>
              <c:numCache>
                <c:formatCode>0.0;[Red]0.0</c:formatCode>
                <c:ptCount val="4"/>
                <c:pt idx="0">
                  <c:v>11.8</c:v>
                </c:pt>
                <c:pt idx="1">
                  <c:v>6</c:v>
                </c:pt>
                <c:pt idx="2">
                  <c:v>5.9</c:v>
                </c:pt>
                <c:pt idx="3">
                  <c:v>7.8</c:v>
                </c:pt>
              </c:numCache>
            </c:numRef>
          </c:val>
        </c:ser>
        <c:ser>
          <c:idx val="2"/>
          <c:order val="2"/>
          <c:tx>
            <c:strRef>
              <c:f>Sheet4!$A$8</c:f>
              <c:strCache>
                <c:ptCount val="1"/>
                <c:pt idx="0">
                  <c:v>ԱՐՏԱԲՅՈՒՋԵՏԱՅԻՆ ՄԻՋՈՑՆԵՐ-ԸՆԴԱՄԵՆԸ</c:v>
                </c:pt>
              </c:strCache>
            </c:strRef>
          </c:tx>
          <c:dLbls>
            <c:showVal val="1"/>
          </c:dLbls>
          <c:cat>
            <c:strRef>
              <c:f>Sheet4!$B$5:$AM$5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Sheet4!$B$8:$AM$8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3.3</c:v>
                </c:pt>
                <c:pt idx="3" formatCode="0.0;[Red]0.0">
                  <c:v>3.6</c:v>
                </c:pt>
              </c:numCache>
            </c:numRef>
          </c:val>
        </c:ser>
        <c:dLbls>
          <c:showVal val="1"/>
        </c:dLbls>
        <c:overlap val="-25"/>
        <c:axId val="83289600"/>
        <c:axId val="83291136"/>
      </c:barChart>
      <c:catAx>
        <c:axId val="83289600"/>
        <c:scaling>
          <c:orientation val="minMax"/>
        </c:scaling>
        <c:axPos val="b"/>
        <c:majorTickMark val="none"/>
        <c:tickLblPos val="nextTo"/>
        <c:crossAx val="83291136"/>
        <c:crosses val="autoZero"/>
        <c:auto val="1"/>
        <c:lblAlgn val="ctr"/>
        <c:lblOffset val="100"/>
      </c:catAx>
      <c:valAx>
        <c:axId val="83291136"/>
        <c:scaling>
          <c:orientation val="minMax"/>
        </c:scaling>
        <c:delete val="1"/>
        <c:axPos val="l"/>
        <c:numFmt formatCode="0.0;[Red]0.0" sourceLinked="1"/>
        <c:tickLblPos val="nextTo"/>
        <c:crossAx val="83289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28033189399718E-2"/>
          <c:y val="9.9335476956055768E-2"/>
          <c:w val="0.96976758953517905"/>
          <c:h val="0.15649289819480025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80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2014-2017 թթ. /փետրվար ամսվա վերջի դրությամբ,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.13847462817147871"/>
          <c:y val="0.24063684747739969"/>
          <c:w val="0.5649420384951922"/>
          <c:h val="0.6243762758821817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503E-2"/>
                  <c:y val="-6.4814814814815144E-2"/>
                </c:manualLayout>
              </c:layout>
              <c:showVal val="1"/>
            </c:dLbl>
            <c:dLbl>
              <c:idx val="1"/>
              <c:layout>
                <c:manualLayout>
                  <c:x val="-5.8333333333333674E-2"/>
                  <c:y val="-7.4074074074074084E-2"/>
                </c:manualLayout>
              </c:layout>
              <c:showVal val="1"/>
            </c:dLbl>
            <c:dLbl>
              <c:idx val="2"/>
              <c:layout>
                <c:manualLayout>
                  <c:x val="-8.3333333333333398E-2"/>
                  <c:y val="-7.4074074074074084E-2"/>
                </c:manualLayout>
              </c:layout>
              <c:showVal val="1"/>
            </c:dLbl>
            <c:dLbl>
              <c:idx val="3"/>
              <c:layout>
                <c:manualLayout>
                  <c:x val="-6.9444444444444572E-2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3.3333333333333381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Sheet1!$B$6:$F$6</c:f>
              <c:numCache>
                <c:formatCode>#,##0.0</c:formatCode>
                <c:ptCount val="5"/>
                <c:pt idx="0">
                  <c:v>1905.1</c:v>
                </c:pt>
                <c:pt idx="1">
                  <c:v>2084.8000000000002</c:v>
                </c:pt>
                <c:pt idx="2">
                  <c:v>2519.5</c:v>
                </c:pt>
                <c:pt idx="3">
                  <c:v>2903.1</c:v>
                </c:pt>
                <c:pt idx="4">
                  <c:v>2901.3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3888888888888944E-2"/>
                  <c:y val="3.240740740740760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629629629629651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Sheet1!$B$7:$F$7</c:f>
              <c:numCache>
                <c:formatCode>#,##0.0;[Red]#,##0.0</c:formatCode>
                <c:ptCount val="5"/>
                <c:pt idx="0">
                  <c:v>1694.6</c:v>
                </c:pt>
                <c:pt idx="1">
                  <c:v>1882.6</c:v>
                </c:pt>
                <c:pt idx="2">
                  <c:v>2283.4</c:v>
                </c:pt>
                <c:pt idx="3" formatCode="#,##0.0">
                  <c:v>2654.6</c:v>
                </c:pt>
                <c:pt idx="4">
                  <c:v>2652.5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</c:strCache>
            </c:strRef>
          </c:tx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</c:strCache>
            </c:strRef>
          </c:tx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647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2777777777777812E-2"/>
                  <c:y val="-6.4814814814815144E-2"/>
                </c:manualLayout>
              </c:layout>
              <c:showVal val="1"/>
            </c:dLbl>
            <c:dLbl>
              <c:idx val="2"/>
              <c:layout>
                <c:manualLayout>
                  <c:x val="-4.1666666666666692E-2"/>
                  <c:y val="-5.092592592592593E-2"/>
                </c:manualLayout>
              </c:layout>
              <c:showVal val="1"/>
            </c:dLbl>
            <c:dLbl>
              <c:idx val="3"/>
              <c:layout>
                <c:manualLayout>
                  <c:x val="-2.5000000000000015E-2"/>
                  <c:y val="-4.6296296296296516E-2"/>
                </c:manualLayout>
              </c:layout>
              <c:showVal val="1"/>
            </c:dLbl>
            <c:dLbl>
              <c:idx val="4"/>
              <c:layout>
                <c:manualLayout>
                  <c:x val="-3.3333333333333381E-2"/>
                  <c:y val="-6.944444444444457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Sheet1!$B$10:$F$10</c:f>
              <c:numCache>
                <c:formatCode>0.0;[Red]0.0</c:formatCode>
                <c:ptCount val="5"/>
                <c:pt idx="0" formatCode="#,##0.0;[Red]#,##0.0">
                  <c:v>210.5</c:v>
                </c:pt>
                <c:pt idx="1">
                  <c:v>202.2</c:v>
                </c:pt>
                <c:pt idx="2">
                  <c:v>236.1</c:v>
                </c:pt>
                <c:pt idx="3" formatCode="0.0">
                  <c:v>248.56608635559263</c:v>
                </c:pt>
                <c:pt idx="4">
                  <c:v>248.8</c:v>
                </c:pt>
              </c:numCache>
            </c:numRef>
          </c:val>
        </c:ser>
        <c:marker val="1"/>
        <c:axId val="83402752"/>
        <c:axId val="83404288"/>
      </c:lineChart>
      <c:catAx>
        <c:axId val="83402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3404288"/>
        <c:crosses val="autoZero"/>
        <c:auto val="1"/>
        <c:lblAlgn val="ctr"/>
        <c:lblOffset val="100"/>
      </c:catAx>
      <c:valAx>
        <c:axId val="8340428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8340275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833333333333392"/>
          <c:y val="0.17182596967045785"/>
          <c:w val="0.28500000000000031"/>
          <c:h val="0.80901027996500441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800">
                <a:latin typeface="GHEA Grapalat" pitchFamily="50" charset="0"/>
              </a:rPr>
              <a:t>ՀՀ պետական պարտքը, ՀՀ կառավարության պարտքը և ՀՀ կենտրոնական բանկի արտաքին պարտքը 2014-2017 թթ. /փետրվար ամսվա վերջի դրությամբ, մլն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79396325459319"/>
          <c:y val="0.21748869932925091"/>
          <c:w val="0.5446504811898516"/>
          <c:h val="0.64927602799650064"/>
        </c:manualLayout>
      </c:layout>
      <c:lineChart>
        <c:grouping val="standard"/>
        <c:ser>
          <c:idx val="0"/>
          <c:order val="0"/>
          <c:tx>
            <c:strRef>
              <c:f>Sheet1!$A$14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-8.3333333333333398E-2"/>
                </c:manualLayout>
              </c:layout>
              <c:showVal val="1"/>
            </c:dLbl>
            <c:dLbl>
              <c:idx val="2"/>
              <c:layout>
                <c:manualLayout>
                  <c:x val="-3.0555555555555582E-2"/>
                  <c:y val="-8.7962962962963451E-2"/>
                </c:manualLayout>
              </c:layout>
              <c:showVal val="1"/>
            </c:dLbl>
            <c:dLbl>
              <c:idx val="3"/>
              <c:layout>
                <c:manualLayout>
                  <c:x val="-1.9444444444444445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Sheet1!$B$14:$F$14</c:f>
              <c:numCache>
                <c:formatCode>#,##0.0</c:formatCode>
                <c:ptCount val="5"/>
                <c:pt idx="0">
                  <c:v>4613.7</c:v>
                </c:pt>
                <c:pt idx="1">
                  <c:v>4354.5</c:v>
                </c:pt>
                <c:pt idx="2">
                  <c:v>5120.4000000000005</c:v>
                </c:pt>
                <c:pt idx="3">
                  <c:v>5970.7</c:v>
                </c:pt>
                <c:pt idx="4">
                  <c:v>5961.2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240740740740760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Sheet1!$B$15:$F$15</c:f>
              <c:numCache>
                <c:formatCode>#,##0.0;[Red]#,##0.0</c:formatCode>
                <c:ptCount val="5"/>
                <c:pt idx="0">
                  <c:v>4103.9000000000005</c:v>
                </c:pt>
                <c:pt idx="1">
                  <c:v>3932.2</c:v>
                </c:pt>
                <c:pt idx="2">
                  <c:v>4640.6000000000004</c:v>
                </c:pt>
                <c:pt idx="3">
                  <c:v>5495.5</c:v>
                </c:pt>
                <c:pt idx="4">
                  <c:v>5450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</c:strCache>
            </c:strRef>
          </c:tx>
          <c:cat>
            <c:strRef>
              <c:f>Sheet1!$B$13:$F$13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Sheet1!$B$16:$F$16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</c:strCache>
            </c:strRef>
          </c:tx>
          <c:cat>
            <c:strRef>
              <c:f>Sheet1!$B$13:$F$13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Sheet1!$B$17:$F$17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Sheet1!$A$18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4.7222222222222332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1.9444444444444445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1.9444444444444445E-2"/>
                  <c:y val="-3.240740740740768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Sheet1!$B$13:$F$13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Sheet1!$B$18:$F$18</c:f>
              <c:numCache>
                <c:formatCode>0.0</c:formatCode>
                <c:ptCount val="5"/>
                <c:pt idx="0">
                  <c:v>509.8</c:v>
                </c:pt>
                <c:pt idx="1">
                  <c:v>422.3</c:v>
                </c:pt>
                <c:pt idx="2">
                  <c:v>479.8</c:v>
                </c:pt>
                <c:pt idx="3">
                  <c:v>511.21092148898987</c:v>
                </c:pt>
                <c:pt idx="4">
                  <c:v>511.2</c:v>
                </c:pt>
              </c:numCache>
            </c:numRef>
          </c:val>
        </c:ser>
        <c:marker val="1"/>
        <c:axId val="91977984"/>
        <c:axId val="92004352"/>
      </c:lineChart>
      <c:catAx>
        <c:axId val="91977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  <c:crossAx val="92004352"/>
        <c:crosses val="autoZero"/>
        <c:auto val="1"/>
        <c:lblAlgn val="ctr"/>
        <c:lblOffset val="100"/>
      </c:catAx>
      <c:valAx>
        <c:axId val="920043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197798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22222222222261"/>
          <c:y val="0.25283865558471857"/>
          <c:w val="0.30911111111111111"/>
          <c:h val="0.7344849081364829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>
                <a:latin typeface="GHEA Grapalat" pitchFamily="50" charset="0"/>
              </a:rPr>
              <a:t>ՀՀ կառավարության  արտաքին, ներքին և ՀՀ ԿԲ արտաքին պարտքերը 2014-2017 թթ. /փետրվարի վերջի դրությամբ, մլրդ դրամ/</a:t>
            </a:r>
          </a:p>
        </c:rich>
      </c:tx>
      <c:layout>
        <c:manualLayout>
          <c:xMode val="edge"/>
          <c:yMode val="edge"/>
          <c:x val="0.10005555555555556"/>
          <c:y val="1.3888888888888951E-2"/>
        </c:manualLayout>
      </c:layout>
    </c:title>
    <c:plotArea>
      <c:layout>
        <c:manualLayout>
          <c:layoutTarget val="inner"/>
          <c:xMode val="edge"/>
          <c:yMode val="edge"/>
          <c:x val="0.12679396325459319"/>
          <c:y val="0.23398549139690952"/>
          <c:w val="0.64271981627296815"/>
          <c:h val="0.65349883347915261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5555555555555455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5.8333333333333591E-2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5.8333333333333591E-2"/>
                  <c:y val="-7.407407407407407E-2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5.8333333333333522E-2"/>
                  <c:y val="6.48148148148151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Sheet1!$B$6:$F$6</c:f>
              <c:numCache>
                <c:formatCode>#,##0.0</c:formatCode>
                <c:ptCount val="5"/>
                <c:pt idx="0">
                  <c:v>1414.3</c:v>
                </c:pt>
                <c:pt idx="1">
                  <c:v>1553.5</c:v>
                </c:pt>
                <c:pt idx="2">
                  <c:v>1900.4</c:v>
                </c:pt>
                <c:pt idx="3">
                  <c:v>2103.6999999999998</c:v>
                </c:pt>
                <c:pt idx="4">
                  <c:v>2093.6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7777777777777779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5.8333333333333591E-2"/>
                  <c:y val="-4.6296296296296474E-2"/>
                </c:manualLayout>
              </c:layout>
              <c:showVal val="1"/>
            </c:dLbl>
            <c:dLbl>
              <c:idx val="2"/>
              <c:layout>
                <c:manualLayout>
                  <c:x val="-3.888888888888889E-2"/>
                  <c:y val="-5.0925925925925902E-2"/>
                </c:manualLayout>
              </c:layout>
              <c:showVal val="1"/>
            </c:dLbl>
            <c:dLbl>
              <c:idx val="3"/>
              <c:layout>
                <c:manualLayout>
                  <c:x val="-2.7777777777777964E-2"/>
                  <c:y val="-3.2407407407407558E-2"/>
                </c:manualLayout>
              </c:layout>
              <c:showVal val="1"/>
            </c:dLbl>
            <c:dLbl>
              <c:idx val="4"/>
              <c:layout>
                <c:manualLayout>
                  <c:x val="-4.7222222222222124E-2"/>
                  <c:y val="-4.629629629629647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Sheet1!$B$7:$F$7</c:f>
              <c:numCache>
                <c:formatCode>0.0</c:formatCode>
                <c:ptCount val="5"/>
                <c:pt idx="0">
                  <c:v>280.3</c:v>
                </c:pt>
                <c:pt idx="1">
                  <c:v>329.1</c:v>
                </c:pt>
                <c:pt idx="2">
                  <c:v>383</c:v>
                </c:pt>
                <c:pt idx="3">
                  <c:v>550.82098674999997</c:v>
                </c:pt>
                <c:pt idx="4">
                  <c:v>558.9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5555555555555297E-3"/>
                  <c:y val="2.77777777777779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796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7777777777796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Val val="1"/>
          </c:dLbls>
          <c:cat>
            <c:strRef>
              <c:f>Sheet1!$B$5:$F$5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Sheet1!$B$8:$F$8</c:f>
              <c:numCache>
                <c:formatCode>0.0;[Red]0.0</c:formatCode>
                <c:ptCount val="5"/>
                <c:pt idx="0" formatCode="#,##0.0;[Red]#,##0.0">
                  <c:v>210.5</c:v>
                </c:pt>
                <c:pt idx="1">
                  <c:v>202.2</c:v>
                </c:pt>
                <c:pt idx="2">
                  <c:v>236.1</c:v>
                </c:pt>
                <c:pt idx="3" formatCode="0.0">
                  <c:v>248.56608635559249</c:v>
                </c:pt>
                <c:pt idx="4">
                  <c:v>248.8</c:v>
                </c:pt>
              </c:numCache>
            </c:numRef>
          </c:val>
        </c:ser>
        <c:marker val="1"/>
        <c:axId val="92040192"/>
        <c:axId val="92054272"/>
      </c:lineChart>
      <c:catAx>
        <c:axId val="92040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2054272"/>
        <c:crosses val="autoZero"/>
        <c:auto val="1"/>
        <c:lblAlgn val="ctr"/>
        <c:lblOffset val="100"/>
      </c:catAx>
      <c:valAx>
        <c:axId val="9205427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204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63888888889174"/>
          <c:y val="0.25224773986585008"/>
          <c:w val="0.24658333333333401"/>
          <c:h val="0.66205526392534264"/>
        </c:manualLayout>
      </c:layout>
    </c:legend>
    <c:plotVisOnly val="1"/>
  </c:chart>
  <c:txPr>
    <a:bodyPr/>
    <a:lstStyle/>
    <a:p>
      <a:pPr>
        <a:defRPr sz="800"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en-US" sz="800">
                <a:latin typeface="GHEA Grapalat" pitchFamily="50" charset="0"/>
              </a:rPr>
              <a:t>ՀՀ կառավարության արտաքին, ներքին և ՀՀ ԿԲ արտաքին պարտքերը 2014-2017թթ. /փետրվար ամսվա վերջի դրությամբ, մլն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79396325459319"/>
          <c:y val="0.22258129192184314"/>
          <c:w val="0.59549759405074165"/>
          <c:h val="0.66241032370953634"/>
        </c:manualLayout>
      </c:layout>
      <c:lineChart>
        <c:grouping val="standard"/>
        <c:ser>
          <c:idx val="0"/>
          <c:order val="0"/>
          <c:tx>
            <c:strRef>
              <c:f>'[petrvar-Final.xlsx]Sheet1'!$A$13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4.7222222222222332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8333333333333591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3.6111111111111212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'[petrvar-Final.xlsx]Sheet1'!$B$12:$F$12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'[petrvar-Final.xlsx]Sheet1'!$B$13:$F$13</c:f>
              <c:numCache>
                <c:formatCode>#,##0.0</c:formatCode>
                <c:ptCount val="5"/>
                <c:pt idx="0">
                  <c:v>3425.1</c:v>
                </c:pt>
                <c:pt idx="1">
                  <c:v>3244.8</c:v>
                </c:pt>
                <c:pt idx="2">
                  <c:v>3862.3</c:v>
                </c:pt>
                <c:pt idx="3">
                  <c:v>4326</c:v>
                </c:pt>
                <c:pt idx="4">
                  <c:v>4301.7</c:v>
                </c:pt>
              </c:numCache>
            </c:numRef>
          </c:val>
        </c:ser>
        <c:ser>
          <c:idx val="1"/>
          <c:order val="1"/>
          <c:tx>
            <c:strRef>
              <c:f>'[petrvar-Final.xlsx]Sheet1'!$A$14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591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3.6111111111111212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3.0555555555555582E-2"/>
                  <c:y val="-4.1666666666666567E-2"/>
                </c:manualLayout>
              </c:layout>
              <c:showVal val="1"/>
            </c:dLbl>
            <c:dLbl>
              <c:idx val="3"/>
              <c:layout>
                <c:manualLayout>
                  <c:x val="-2.7777777777777964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2.2222222222222251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'[petrvar-Final.xlsx]Sheet1'!$B$12:$F$12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'[petrvar-Final.xlsx]Sheet1'!$B$14:$F$14</c:f>
              <c:numCache>
                <c:formatCode>0.0</c:formatCode>
                <c:ptCount val="5"/>
                <c:pt idx="0">
                  <c:v>678.7</c:v>
                </c:pt>
                <c:pt idx="1">
                  <c:v>687.5</c:v>
                </c:pt>
                <c:pt idx="2">
                  <c:v>778.3</c:v>
                </c:pt>
                <c:pt idx="3">
                  <c:v>1132.8403980626499</c:v>
                </c:pt>
                <c:pt idx="4">
                  <c:v>1148.3</c:v>
                </c:pt>
              </c:numCache>
            </c:numRef>
          </c:val>
        </c:ser>
        <c:ser>
          <c:idx val="2"/>
          <c:order val="2"/>
          <c:tx>
            <c:strRef>
              <c:f>'[petrvar-Final.xlsx]Sheet1'!$A$15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77777777777779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240740740740755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'[petrvar-Final.xlsx]Sheet1'!$B$12:$F$12</c:f>
              <c:strCache>
                <c:ptCount val="5"/>
                <c:pt idx="0">
                  <c:v>28.02.2014</c:v>
                </c:pt>
                <c:pt idx="1">
                  <c:v>28.02.2015</c:v>
                </c:pt>
                <c:pt idx="2">
                  <c:v>29.02.2016</c:v>
                </c:pt>
                <c:pt idx="3">
                  <c:v>31.01.2017</c:v>
                </c:pt>
                <c:pt idx="4">
                  <c:v>28.02.2017</c:v>
                </c:pt>
              </c:strCache>
            </c:strRef>
          </c:cat>
          <c:val>
            <c:numRef>
              <c:f>'[petrvar-Final.xlsx]Sheet1'!$B$15:$F$15</c:f>
              <c:numCache>
                <c:formatCode>0.0</c:formatCode>
                <c:ptCount val="5"/>
                <c:pt idx="0">
                  <c:v>509.8</c:v>
                </c:pt>
                <c:pt idx="1">
                  <c:v>422.3</c:v>
                </c:pt>
                <c:pt idx="2">
                  <c:v>479.8</c:v>
                </c:pt>
                <c:pt idx="3">
                  <c:v>511.21092148899004</c:v>
                </c:pt>
                <c:pt idx="4">
                  <c:v>511.2</c:v>
                </c:pt>
              </c:numCache>
            </c:numRef>
          </c:val>
        </c:ser>
        <c:marker val="1"/>
        <c:axId val="92105728"/>
        <c:axId val="92246784"/>
      </c:lineChart>
      <c:catAx>
        <c:axId val="921057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92246784"/>
        <c:crosses val="autoZero"/>
        <c:auto val="1"/>
        <c:lblAlgn val="ctr"/>
        <c:lblOffset val="100"/>
      </c:catAx>
      <c:valAx>
        <c:axId val="922467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210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97222222222225"/>
          <c:y val="0.15039588801399872"/>
          <c:w val="0.24936111111111167"/>
          <c:h val="0.81483304170312043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ru-RU"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     </a:t>
            </a:r>
            <a:r>
              <a:rPr lang="ru-RU" sz="900">
                <a:latin typeface="GHEA Grapalat" pitchFamily="50" charset="0"/>
              </a:rPr>
              <a:t>Տնտեսական ակտիվության ցուցանիշը </a:t>
            </a:r>
            <a:r>
              <a:rPr lang="en-US" sz="900">
                <a:latin typeface="GHEA Grapalat" pitchFamily="50" charset="0"/>
              </a:rPr>
              <a:t>նախորդ տարվա նույն ժամանակահատվածի նկատմամբ</a:t>
            </a:r>
            <a:r>
              <a:rPr lang="ru-RU" sz="900">
                <a:latin typeface="GHEA Grapalat" pitchFamily="50" charset="0"/>
              </a:rPr>
              <a:t>(%)</a:t>
            </a:r>
            <a:endParaRPr lang="hy-AM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3366885389326341"/>
          <c:y val="0.20373869932925051"/>
          <c:w val="0.78862270341207363"/>
          <c:h val="0.63317512394284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     նախորդ տարվա նույն ժամանակաշրջանի նկատմամբ</c:v>
                </c:pt>
              </c:strCache>
            </c:strRef>
          </c:tx>
          <c:dLbls>
            <c:dLbl>
              <c:idx val="0"/>
              <c:layout>
                <c:manualLayout>
                  <c:x val="-2.7777777777777926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1.1111111111111141E-2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Лист1!$C$5:$F$5</c:f>
              <c:strCache>
                <c:ptCount val="4"/>
                <c:pt idx="0">
                  <c:v>2014թ. հունվար</c:v>
                </c:pt>
                <c:pt idx="1">
                  <c:v>2015թ. hունվար</c:v>
                </c:pt>
                <c:pt idx="2">
                  <c:v>2016թ. hունվար</c:v>
                </c:pt>
                <c:pt idx="3">
                  <c:v>2017թ.հունվար</c:v>
                </c:pt>
              </c:strCache>
            </c:strRef>
          </c:cat>
          <c:val>
            <c:numRef>
              <c:f>Лист1!$C$6:$F$6</c:f>
              <c:numCache>
                <c:formatCode>0.00</c:formatCode>
                <c:ptCount val="4"/>
                <c:pt idx="0">
                  <c:v>102.3</c:v>
                </c:pt>
                <c:pt idx="1">
                  <c:v>102.1</c:v>
                </c:pt>
                <c:pt idx="2">
                  <c:v>104.3</c:v>
                </c:pt>
                <c:pt idx="3">
                  <c:v>106.5</c:v>
                </c:pt>
              </c:numCache>
            </c:numRef>
          </c:val>
        </c:ser>
        <c:dLbls>
          <c:showVal val="1"/>
        </c:dLbls>
        <c:axId val="98631680"/>
        <c:axId val="98633216"/>
      </c:barChart>
      <c:catAx>
        <c:axId val="98631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 sz="800" b="1">
                <a:latin typeface="GHEA Grapalat" pitchFamily="50" charset="0"/>
              </a:defRPr>
            </a:pPr>
            <a:endParaRPr lang="en-US"/>
          </a:p>
        </c:txPr>
        <c:crossAx val="98633216"/>
        <c:crosses val="autoZero"/>
        <c:auto val="1"/>
        <c:lblAlgn val="ctr"/>
        <c:lblOffset val="100"/>
      </c:catAx>
      <c:valAx>
        <c:axId val="9863321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8631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26</cp:revision>
  <cp:lastPrinted>2016-05-19T11:57:00Z</cp:lastPrinted>
  <dcterms:created xsi:type="dcterms:W3CDTF">2016-04-11T08:23:00Z</dcterms:created>
  <dcterms:modified xsi:type="dcterms:W3CDTF">2017-06-07T07:20:00Z</dcterms:modified>
</cp:coreProperties>
</file>