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Default="00C43CE4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  <w:r w:rsidRPr="00BE0274">
        <w:rPr>
          <w:rFonts w:ascii="GHEA Grapalat" w:hAnsi="GHEA Grapalat"/>
          <w:b/>
          <w:color w:val="000000" w:themeColor="text1"/>
          <w:sz w:val="40"/>
          <w:szCs w:val="40"/>
        </w:rPr>
        <w:t>ՀԱՇՎԵՏՎՈՒԹՅՈՒՆ</w:t>
      </w:r>
    </w:p>
    <w:p w:rsidR="00F94FE3" w:rsidRPr="00BE0274" w:rsidRDefault="00F94FE3" w:rsidP="00C43CE4">
      <w:pPr>
        <w:jc w:val="center"/>
        <w:rPr>
          <w:rFonts w:ascii="GHEA Grapalat" w:hAnsi="GHEA Grapalat"/>
          <w:b/>
          <w:color w:val="000000" w:themeColor="text1"/>
          <w:sz w:val="40"/>
          <w:szCs w:val="40"/>
        </w:rPr>
      </w:pPr>
    </w:p>
    <w:p w:rsidR="00C43CE4" w:rsidRPr="00BE0274" w:rsidRDefault="00B67001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BE0274">
        <w:rPr>
          <w:rFonts w:ascii="GHEA Grapalat" w:hAnsi="GHEA Grapalat"/>
          <w:color w:val="000000" w:themeColor="text1"/>
          <w:sz w:val="28"/>
          <w:szCs w:val="28"/>
        </w:rPr>
        <w:t xml:space="preserve">ԲՅՈՒՋԵՏԱՅԻՆ ԳՐԱՍԵՆՅԱԿԻ ԿԱՏԱՐԱԾ ԱՇԽԱՏԱՆՔՆԵՐԻ ՎԵՐԱԲԵՐՅԱԼ </w:t>
      </w:r>
    </w:p>
    <w:p w:rsidR="005E2012" w:rsidRPr="00BE0274" w:rsidRDefault="005E2012" w:rsidP="005E2012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rFonts w:ascii="GHEA Grapalat" w:hAnsi="GHEA Grapalat"/>
          <w:color w:val="000000" w:themeColor="text1"/>
          <w:sz w:val="28"/>
          <w:szCs w:val="28"/>
        </w:rPr>
        <w:t>(</w:t>
      </w:r>
      <w:r>
        <w:rPr>
          <w:rFonts w:ascii="GHEA Grapalat" w:hAnsi="GHEA Grapalat"/>
          <w:color w:val="000000" w:themeColor="text1"/>
          <w:sz w:val="28"/>
          <w:szCs w:val="28"/>
          <w:lang w:val="hy-AM"/>
        </w:rPr>
        <w:t>ԵՐՐՈՐԴ</w:t>
      </w:r>
      <w:r w:rsidRPr="00BE027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ԵՌԱՄՍՅԱԿ</w:t>
      </w:r>
      <w:r w:rsidRPr="00BE0274">
        <w:rPr>
          <w:rFonts w:ascii="GHEA Grapalat" w:hAnsi="GHEA Grapalat"/>
          <w:color w:val="000000" w:themeColor="text1"/>
          <w:sz w:val="28"/>
          <w:szCs w:val="28"/>
        </w:rPr>
        <w:t>)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43CE4" w:rsidRPr="00BE0274" w:rsidRDefault="00D443BC" w:rsidP="00D46ED5">
      <w:pPr>
        <w:spacing w:after="0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BE0274">
        <w:rPr>
          <w:noProof/>
          <w:color w:val="000000" w:themeColor="text1"/>
        </w:rPr>
        <w:drawing>
          <wp:inline distT="0" distB="0" distL="0" distR="0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BE0274" w:rsidRDefault="006A70CA" w:rsidP="00D46ED5">
      <w:pPr>
        <w:spacing w:after="0"/>
        <w:rPr>
          <w:rFonts w:ascii="GHEA Grapalat" w:hAnsi="GHEA Grapalat"/>
          <w:color w:val="000000" w:themeColor="text1"/>
          <w:sz w:val="56"/>
          <w:szCs w:val="56"/>
        </w:rPr>
      </w:pPr>
      <w:r>
        <w:rPr>
          <w:rFonts w:ascii="GHEA Grapalat" w:hAnsi="GHEA Grapalat"/>
          <w:color w:val="000000" w:themeColor="text1"/>
          <w:sz w:val="56"/>
          <w:szCs w:val="56"/>
        </w:rPr>
        <w:t xml:space="preserve">                          </w:t>
      </w:r>
      <w:r w:rsidR="00D46ED5" w:rsidRPr="00BE0274">
        <w:rPr>
          <w:rFonts w:ascii="GHEA Grapalat" w:hAnsi="GHEA Grapalat"/>
          <w:color w:val="000000" w:themeColor="text1"/>
          <w:sz w:val="56"/>
          <w:szCs w:val="56"/>
        </w:rPr>
        <w:t>ԱԺԲԳ</w:t>
      </w: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D46ED5" w:rsidRPr="00BE0274" w:rsidRDefault="00D46ED5" w:rsidP="00C43CE4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C43CE4" w:rsidRPr="00BE0274" w:rsidRDefault="00C43CE4" w:rsidP="00C43CE4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</w:rPr>
        <w:t>ԵՐԵՎԱՆ-201</w:t>
      </w:r>
      <w:r w:rsidR="006B0414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D46ED5" w:rsidRPr="00BE0274" w:rsidRDefault="00D46ED5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F27A0B" w:rsidRPr="00BE0274" w:rsidRDefault="00F27A0B" w:rsidP="007179F3">
      <w:pPr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ԲՈՎԱՆԴԱԿՈՒԹՅՈՒՆ</w:t>
      </w: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eastAsia="ru-RU"/>
        </w:rPr>
      </w:pP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ՆԱԽԱԲԱՆ</w:t>
      </w:r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……………………………………………………………………………………………….3</w:t>
      </w:r>
    </w:p>
    <w:p w:rsidR="00CC7F07" w:rsidRPr="00BE0274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color w:val="000000" w:themeColor="text1"/>
          <w:lang w:eastAsia="ru-RU"/>
        </w:rPr>
      </w:pPr>
      <w:proofErr w:type="gramStart"/>
      <w:r w:rsidRPr="00BE0274">
        <w:rPr>
          <w:rFonts w:ascii="GHEA Grapalat" w:hAnsi="GHEA Grapalat" w:cs="Arial Unicode"/>
          <w:b/>
          <w:color w:val="000000" w:themeColor="text1"/>
          <w:lang w:eastAsia="ru-RU"/>
        </w:rPr>
        <w:t>ԳՈՐԾՈՒՆԵՈՒԹՅՈՒՆ</w:t>
      </w:r>
      <w:r w:rsidR="0077462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r w:rsidR="00144132" w:rsidRPr="00BE0274">
        <w:rPr>
          <w:rFonts w:ascii="GHEA Grapalat" w:hAnsi="GHEA Grapalat" w:cs="Arial Unicode"/>
          <w:b/>
          <w:color w:val="000000" w:themeColor="text1"/>
          <w:lang w:eastAsia="ru-RU"/>
        </w:rPr>
        <w:t>.</w:t>
      </w:r>
      <w:proofErr w:type="gramEnd"/>
      <w:r w:rsidR="008C5E8C" w:rsidRPr="00BE0274">
        <w:rPr>
          <w:rFonts w:ascii="GHEA Grapalat" w:hAnsi="GHEA Grapalat" w:cs="Arial Unicode"/>
          <w:b/>
          <w:color w:val="000000" w:themeColor="text1"/>
          <w:lang w:eastAsia="ru-RU"/>
        </w:rPr>
        <w:t>………………………………………………………………………………3</w:t>
      </w:r>
    </w:p>
    <w:p w:rsidR="00E27830" w:rsidRDefault="00E27830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Ինքնաշխատ գործառույթների իրականացում</w:t>
      </w:r>
      <w:r w:rsidR="007A5280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</w:t>
      </w:r>
      <w:r w:rsidR="002A4001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3</w:t>
      </w:r>
    </w:p>
    <w:p w:rsidR="00CC7F07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 xml:space="preserve">Հարցումների հիման </w:t>
      </w:r>
      <w:r w:rsidR="00BE395A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վրա</w:t>
      </w: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 xml:space="preserve"> տ</w:t>
      </w:r>
      <w:r w:rsidR="00CC7F07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եղեկանքների պատրաստում և տրամադրում</w:t>
      </w:r>
      <w:r w:rsidR="007A5280">
        <w:rPr>
          <w:rFonts w:ascii="Cambria Math" w:eastAsia="Times New Roman" w:hAnsi="Cambria Math" w:cs="Arial Unicode"/>
          <w:b/>
          <w:color w:val="000000" w:themeColor="text1"/>
          <w:sz w:val="24"/>
          <w:szCs w:val="24"/>
          <w:lang w:val="hy-AM" w:eastAsia="ru-RU"/>
        </w:rPr>
        <w:t>․․․․․․․</w:t>
      </w:r>
      <w:r w:rsidR="008C5E8C" w:rsidRPr="002A4001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.</w:t>
      </w:r>
      <w:r w:rsidR="00534E6A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4</w:t>
      </w:r>
    </w:p>
    <w:p w:rsidR="005E2012" w:rsidRPr="00BE0274" w:rsidRDefault="005E2012" w:rsidP="005E2012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Աջակցության տրամադրում..............................................</w:t>
      </w:r>
      <w:r>
        <w:rPr>
          <w:rFonts w:ascii="GHEA Grapalat" w:hAnsi="GHEA Grapalat"/>
          <w:b/>
          <w:color w:val="000000" w:themeColor="text1"/>
        </w:rPr>
        <w:t>..</w:t>
      </w:r>
      <w:r w:rsidR="0068467D">
        <w:rPr>
          <w:rFonts w:ascii="GHEA Grapalat" w:hAnsi="GHEA Grapalat"/>
          <w:b/>
          <w:color w:val="000000" w:themeColor="text1"/>
        </w:rPr>
        <w:t>...............................</w:t>
      </w:r>
      <w:r w:rsidR="00534E6A">
        <w:rPr>
          <w:rFonts w:ascii="GHEA Grapalat" w:hAnsi="GHEA Grapalat"/>
          <w:b/>
          <w:color w:val="000000" w:themeColor="text1"/>
          <w:lang w:val="hy-AM"/>
        </w:rPr>
        <w:t>7</w:t>
      </w:r>
    </w:p>
    <w:p w:rsidR="006F49D3" w:rsidRDefault="006F49D3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BE0274">
        <w:rPr>
          <w:rFonts w:ascii="GHEA Grapalat" w:hAnsi="GHEA Grapalat"/>
          <w:b/>
          <w:color w:val="000000" w:themeColor="text1"/>
        </w:rPr>
        <w:t>Ազգային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ժողովի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կարողությունների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BE0274">
        <w:rPr>
          <w:rFonts w:ascii="GHEA Grapalat" w:hAnsi="GHEA Grapalat"/>
          <w:b/>
          <w:color w:val="000000" w:themeColor="text1"/>
        </w:rPr>
        <w:t>զարգացում</w:t>
      </w:r>
      <w:proofErr w:type="spellEnd"/>
      <w:r w:rsidRPr="00BE0274">
        <w:rPr>
          <w:rFonts w:ascii="GHEA Grapalat" w:hAnsi="GHEA Grapalat"/>
          <w:b/>
          <w:color w:val="000000" w:themeColor="text1"/>
        </w:rPr>
        <w:t>…………………………………….</w:t>
      </w:r>
      <w:r w:rsidR="00534E6A">
        <w:rPr>
          <w:rFonts w:ascii="GHEA Grapalat" w:hAnsi="GHEA Grapalat"/>
          <w:b/>
          <w:color w:val="000000" w:themeColor="text1"/>
          <w:lang w:val="hy-AM"/>
        </w:rPr>
        <w:t>8</w:t>
      </w:r>
    </w:p>
    <w:p w:rsidR="00CC7F07" w:rsidRPr="00BE0274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BE0274">
        <w:rPr>
          <w:rFonts w:ascii="GHEA Grapalat" w:hAnsi="GHEA Grapalat"/>
          <w:b/>
          <w:color w:val="000000" w:themeColor="text1"/>
          <w:lang w:val="hy-AM"/>
        </w:rPr>
        <w:t>Ներգրավվածություն</w:t>
      </w:r>
      <w:r w:rsidR="002E5A94" w:rsidRPr="00BE0274">
        <w:rPr>
          <w:rFonts w:ascii="GHEA Grapalat" w:hAnsi="GHEA Grapalat"/>
          <w:b/>
          <w:color w:val="000000" w:themeColor="text1"/>
        </w:rPr>
        <w:t>ն</w:t>
      </w:r>
      <w:r w:rsidRPr="00BE0274">
        <w:rPr>
          <w:rFonts w:ascii="GHEA Grapalat" w:hAnsi="GHEA Grapalat"/>
          <w:b/>
          <w:color w:val="000000" w:themeColor="text1"/>
          <w:lang w:val="hy-AM"/>
        </w:rPr>
        <w:t xml:space="preserve"> այլ աշխատանքներում</w:t>
      </w:r>
      <w:r w:rsidR="00301354" w:rsidRPr="00BE0274">
        <w:rPr>
          <w:rFonts w:ascii="GHEA Grapalat" w:hAnsi="GHEA Grapalat"/>
          <w:b/>
          <w:color w:val="000000" w:themeColor="text1"/>
        </w:rPr>
        <w:t>……………………………………….</w:t>
      </w:r>
      <w:r w:rsidR="006F49D3" w:rsidRPr="00BE0274">
        <w:rPr>
          <w:rFonts w:ascii="GHEA Grapalat" w:hAnsi="GHEA Grapalat"/>
          <w:b/>
          <w:color w:val="000000" w:themeColor="text1"/>
        </w:rPr>
        <w:t>.</w:t>
      </w:r>
      <w:r w:rsidR="00301354" w:rsidRPr="00BE0274">
        <w:rPr>
          <w:rFonts w:ascii="GHEA Grapalat" w:hAnsi="GHEA Grapalat"/>
          <w:b/>
          <w:color w:val="000000" w:themeColor="text1"/>
        </w:rPr>
        <w:t>.</w:t>
      </w:r>
      <w:r w:rsidR="0068467D">
        <w:rPr>
          <w:rFonts w:ascii="GHEA Grapalat" w:hAnsi="GHEA Grapalat"/>
          <w:b/>
          <w:color w:val="000000" w:themeColor="text1"/>
          <w:lang w:val="hy-AM"/>
        </w:rPr>
        <w:t>8</w:t>
      </w:r>
    </w:p>
    <w:p w:rsidR="00AD0F43" w:rsidRPr="00BE0274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AD0F43" w:rsidRPr="00BE0274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64F95" w:rsidRPr="00BE0274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821D7D" w:rsidRPr="00BE0274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Pr="00BE0274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B67001" w:rsidRPr="00BE0274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</w:p>
    <w:p w:rsidR="00476EB2" w:rsidRPr="00BE0274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color w:val="000000" w:themeColor="text1"/>
          <w:lang w:val="hy-AM" w:eastAsia="ru-RU"/>
        </w:rPr>
      </w:pPr>
      <w:r w:rsidRPr="00BE0274">
        <w:rPr>
          <w:rFonts w:ascii="GHEA Grapalat" w:hAnsi="GHEA Grapalat" w:cs="Arial Unicode"/>
          <w:b/>
          <w:color w:val="000000" w:themeColor="text1"/>
          <w:lang w:val="hy-AM" w:eastAsia="ru-RU"/>
        </w:rPr>
        <w:lastRenderedPageBreak/>
        <w:t>ՆԱԽԱԲԱՆ</w:t>
      </w:r>
    </w:p>
    <w:p w:rsidR="00476EB2" w:rsidRPr="00BE0274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color w:val="000000" w:themeColor="text1"/>
          <w:lang w:val="hy-AM" w:eastAsia="ru-RU"/>
        </w:rPr>
      </w:pPr>
    </w:p>
    <w:p w:rsidR="00F9019C" w:rsidRPr="00BE0274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6F67EE" w:rsidRP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(</w:t>
      </w:r>
      <w:r w:rsid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այսուհետ՝ Բյուջետային գրասենյակ</w:t>
      </w:r>
      <w:r w:rsidR="006F67EE" w:rsidRPr="006F67E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հաշվետու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60112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ժամանակահատվածում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(01.0</w:t>
      </w:r>
      <w:r w:rsidR="001D230E" w:rsidRPr="001D230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7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.2019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.-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30․0</w:t>
      </w:r>
      <w:r w:rsidR="001D230E" w:rsidRPr="001D230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9</w:t>
      </w:r>
      <w:r w:rsid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․2019թ</w:t>
      </w:r>
      <w:r w:rsidR="00B974A1" w:rsidRPr="00B974A1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)</w:t>
      </w:r>
      <w:r w:rsidR="00B974A1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102E6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այլ </w:t>
      </w:r>
      <w:r w:rsidR="00693F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փորձագետներ</w:t>
      </w:r>
      <w:r w:rsidR="00693F9C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` 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Աշոտ Եղիազարյան</w:t>
      </w:r>
      <w:r w:rsidR="00F672B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և Աշոտ Ավետիսյան</w:t>
      </w:r>
      <w:r w:rsidR="00F9019C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:</w:t>
      </w:r>
    </w:p>
    <w:p w:rsidR="00585A2B" w:rsidRPr="00BE0274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գրասենյակի </w:t>
      </w:r>
      <w:r w:rsidR="00B0013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կողմից կատարված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աշխատանքների վերաբերյալ </w:t>
      </w:r>
      <w:r w:rsidR="001D230E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երրորդ</w:t>
      </w:r>
      <w:r w:rsidR="00D7436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եռամսյակի 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հաշվետվությունը կազմվել է Ազգային ժողովի աշխատակարգի 120-րդ կետի պահանջներից ելնելով:</w:t>
      </w: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lang w:val="hy-AM" w:eastAsia="ru-RU"/>
        </w:rPr>
      </w:pPr>
    </w:p>
    <w:p w:rsidR="001F0A9B" w:rsidRPr="00BE0274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lang w:val="hy-AM" w:eastAsia="ru-RU"/>
        </w:rPr>
        <w:t>ԳՈՐԾՈՒՆԵՈՒԹՅՈՒՆ</w:t>
      </w:r>
    </w:p>
    <w:p w:rsidR="000B15CC" w:rsidRPr="00D22695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10"/>
          <w:szCs w:val="10"/>
          <w:lang w:val="hy-AM"/>
        </w:rPr>
      </w:pPr>
    </w:p>
    <w:p w:rsidR="00CE4AAC" w:rsidRPr="00BE0274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E27830" w:rsidRPr="000A3331" w:rsidRDefault="00E27830" w:rsidP="000E4951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263342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  <w:r w:rsidR="00C102E6" w:rsidRPr="00C102E6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</w:t>
      </w:r>
      <w:r w:rsidR="00C102E6" w:rsidRPr="000A333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(Գործառույթներ որոնք իրականացվում են իմպերատիվ՝ իրավական ակտերով սահմանված դեպքերում և ժամկետներում, անկախ հարցման առկայության)</w:t>
      </w:r>
    </w:p>
    <w:p w:rsidR="00E27830" w:rsidRPr="00263342" w:rsidRDefault="00E27830" w:rsidP="00E27830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1D230E" w:rsidRPr="001D230E" w:rsidRDefault="00E27830" w:rsidP="001D230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D230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1D23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230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աշխատակարգի 115-րդ կետի </w:t>
      </w:r>
      <w:r w:rsidR="00B974A1" w:rsidRPr="001D230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</w:t>
      </w:r>
      <w:r w:rsidRPr="001D230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9-րդ և 10-րդ ենթակետերով ու 116-րդ կետի 1-ին և 2-րդ ենթակետերով, սահմանված ժամկետներում</w:t>
      </w:r>
      <w:r w:rsidRPr="001D23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230E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Pr="001D230E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 է տրամադրել</w:t>
      </w:r>
      <w:r w:rsidR="001D230E" w:rsidRPr="001D230E">
        <w:rPr>
          <w:rFonts w:ascii="GHEA Grapalat" w:hAnsi="GHEA Grapalat" w:cs="Arial Unicode"/>
          <w:sz w:val="24"/>
          <w:szCs w:val="24"/>
          <w:lang w:val="hy-AM"/>
        </w:rPr>
        <w:t xml:space="preserve"> Հայաստանի Հանրապետության 2019 թվականի առաջին </w:t>
      </w:r>
      <w:r w:rsidR="001D230E">
        <w:rPr>
          <w:rFonts w:ascii="GHEA Grapalat" w:hAnsi="GHEA Grapalat" w:cs="Arial Unicode"/>
          <w:sz w:val="24"/>
          <w:szCs w:val="24"/>
          <w:lang w:val="hy-AM"/>
        </w:rPr>
        <w:t>կիսամյակի</w:t>
      </w:r>
      <w:r w:rsidR="001D230E" w:rsidRPr="001D230E">
        <w:rPr>
          <w:rFonts w:ascii="GHEA Grapalat" w:hAnsi="GHEA Grapalat" w:cs="Arial Unicode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նկարագիրը:</w:t>
      </w:r>
    </w:p>
    <w:p w:rsidR="00E27830" w:rsidRPr="00263342" w:rsidRDefault="001D230E" w:rsidP="002334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Բյուջետային գրասենյակն ինն ամիսների ընթացքում ինքնաշխատ գործառույթների իրականացմամբ պայմանավորված </w:t>
      </w:r>
      <w:r w:rsidR="00233444" w:rsidRPr="001D230E">
        <w:rPr>
          <w:rFonts w:ascii="GHEA Grapalat" w:hAnsi="GHEA Grapalat" w:cs="Sylfaen"/>
          <w:sz w:val="24"/>
          <w:szCs w:val="24"/>
          <w:lang w:val="hy-AM"/>
        </w:rPr>
        <w:t>պատրստել</w:t>
      </w:r>
      <w:r w:rsidR="00233444" w:rsidRPr="001D230E">
        <w:rPr>
          <w:rFonts w:ascii="GHEA Grapalat" w:hAnsi="GHEA Grapalat"/>
          <w:sz w:val="24"/>
          <w:szCs w:val="24"/>
          <w:lang w:val="hy-AM"/>
        </w:rPr>
        <w:t xml:space="preserve"> և Ազգային ժողովի ֆինանսավարկային և բյուջետային հարցերի մշտական հանձնաժողովին</w:t>
      </w:r>
      <w:r w:rsidR="00233444">
        <w:rPr>
          <w:rFonts w:ascii="GHEA Grapalat" w:hAnsi="GHEA Grapalat"/>
          <w:sz w:val="24"/>
          <w:szCs w:val="24"/>
          <w:lang w:val="hy-AM"/>
        </w:rPr>
        <w:t xml:space="preserve"> է տրամադրել նաև </w:t>
      </w:r>
      <w:r w:rsidR="00E27830" w:rsidRPr="00263342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E27830">
        <w:rPr>
          <w:rFonts w:ascii="GHEA Grapalat" w:hAnsi="GHEA Grapalat"/>
          <w:sz w:val="24"/>
          <w:szCs w:val="24"/>
          <w:lang w:val="hy-AM"/>
        </w:rPr>
        <w:t>8</w:t>
      </w:r>
      <w:r w:rsidR="00E27830" w:rsidRPr="0026334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27830" w:rsidRPr="0026334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կատարման մասին տարեկան հաշվետվության </w:t>
      </w:r>
      <w:r w:rsidR="0023344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</w:t>
      </w:r>
      <w:r w:rsidR="00E27830" w:rsidRPr="00263342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="00E27830">
        <w:rPr>
          <w:rFonts w:ascii="GHEA Grapalat" w:hAnsi="GHEA Grapalat" w:cs="Arial Unicode"/>
          <w:sz w:val="24"/>
          <w:szCs w:val="24"/>
          <w:lang w:val="hy-AM"/>
        </w:rPr>
        <w:t>9</w:t>
      </w:r>
      <w:r w:rsidR="00E27830" w:rsidRPr="00263342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պետական բյուջեի կատարման ընթացքի վերաբերյալ Կառավարության ներկայացրած տեղեկանք</w:t>
      </w:r>
      <w:r w:rsidR="006B532F">
        <w:rPr>
          <w:rFonts w:ascii="GHEA Grapalat" w:hAnsi="GHEA Grapalat" w:cs="Arial Unicode"/>
          <w:sz w:val="24"/>
          <w:szCs w:val="24"/>
          <w:lang w:val="hy-AM"/>
        </w:rPr>
        <w:t>ների</w:t>
      </w:r>
      <w:r w:rsidR="00E27830" w:rsidRPr="00263342">
        <w:rPr>
          <w:rFonts w:ascii="GHEA Grapalat" w:hAnsi="GHEA Grapalat" w:cs="Arial Unicode"/>
          <w:sz w:val="24"/>
          <w:szCs w:val="24"/>
          <w:lang w:val="hy-AM"/>
        </w:rPr>
        <w:t xml:space="preserve"> ամփոփ </w:t>
      </w:r>
      <w:r w:rsidR="00233444">
        <w:rPr>
          <w:rFonts w:ascii="GHEA Grapalat" w:hAnsi="GHEA Grapalat" w:cs="Arial Unicode"/>
          <w:sz w:val="24"/>
          <w:szCs w:val="24"/>
          <w:lang w:val="hy-AM"/>
        </w:rPr>
        <w:t>նկարագրերը</w:t>
      </w:r>
      <w:r w:rsidR="00E27830" w:rsidRPr="00263342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F20977" w:rsidRPr="00BE0274" w:rsidRDefault="002A4001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lastRenderedPageBreak/>
        <w:t>Հարցումների հիման վրա տ</w:t>
      </w:r>
      <w:r w:rsidR="00F20977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եղեկանքների պատրաստում և տրամադրում</w:t>
      </w:r>
    </w:p>
    <w:p w:rsidR="00F20977" w:rsidRPr="00BE0274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7039C9" w:rsidRPr="00BE0274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7039C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հուլիս-սեպտեմբեր</w:t>
      </w:r>
      <w:r w:rsidR="00E2783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ամիսների ընթացքում</w:t>
      </w: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իրականացնելով իր գործառույթները </w:t>
      </w:r>
      <w:r w:rsidR="007039C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նախկին և </w:t>
      </w:r>
      <w:r w:rsidR="00D226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11</w:t>
      </w:r>
      <w:r w:rsidR="007039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նոր ստացված հարցումներին ի պատարսխան </w:t>
      </w:r>
      <w:r w:rsidR="007039C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պատրաստել և </w:t>
      </w:r>
      <w:r w:rsidR="007039C9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 տրամադրել </w:t>
      </w:r>
      <w:r w:rsidR="007039C9" w:rsidRPr="00D55F2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FB75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18</w:t>
      </w:r>
      <w:r w:rsidR="007039C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տեսակի տեղեկանքներ</w:t>
      </w:r>
      <w:r w:rsidR="007039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039C9" w:rsidRPr="00E278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FB75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ինն ամիսներին՝ 81 հարցում՝ 340 տեսակի տեղեկանքներ, այդ թվում՝ </w:t>
      </w:r>
      <w:r w:rsidR="007039C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առաջին կիսամյակում 66 հարցում՝ 222 տեսակի տեղեկանքներ</w:t>
      </w:r>
      <w:r w:rsidR="007039C9" w:rsidRPr="00E2783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7039C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7039C9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Մասնավորապես, Բյուջետային գրասենյակը, ղեկավարվելով</w:t>
      </w:r>
      <w:r w:rsidR="007039C9" w:rsidRPr="002D39B8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7039C9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ժողովի աշխատակարգի`</w:t>
      </w:r>
    </w:p>
    <w:p w:rsidR="00F20977" w:rsidRPr="00BE0274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201</w:t>
      </w:r>
      <w:r w:rsidR="00E54E7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թ. Հայաստանի Հանրապետության պետական բյուջեով նախատեսված ծախսերի կատարման ընթացքի վերաբերյալ: Պատրաստված </w:t>
      </w:r>
      <w:r w:rsidR="007332B9" w:rsidRPr="007332B9">
        <w:rPr>
          <w:rFonts w:ascii="GHEA Grapalat" w:hAnsi="GHEA Grapalat"/>
          <w:color w:val="000000" w:themeColor="text1"/>
          <w:sz w:val="24"/>
          <w:szCs w:val="24"/>
          <w:lang w:val="hy-AM"/>
        </w:rPr>
        <w:t>60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տեղեկանքները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="009F3D8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նախագահի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արտաքին հարաբերությունների ոլորտի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սփյուռքի,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կրթության, հանգստի, մշակույթի և կրոնի, 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հետազոտական աշխատանք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խմբերի համար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ության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¦,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2730A" w:rsidRPr="00BE0274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և հանրային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հարցերի մշտական հանձնաժողովին՝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տնտեսական հարցերի մշտական հանձնաժողովին՝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Տնտեսական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="006D4997" w:rsidRPr="002D39B8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բաժնի</w:t>
      </w:r>
      <w:r w:rsidR="006D4997" w:rsidRPr="002D39B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¦,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վառելիքի և էներգետիկայի ոլորտների ծախսեր,</w:t>
      </w:r>
    </w:p>
    <w:p w:rsidR="009F3D8B" w:rsidRPr="00BE0274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BE0274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աղբյուրներն են հանդիսացել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օրենքը, Հայաստանի Հանրապետության կառավարության 2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.12.201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թիվ 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515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-Ն որոշումը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 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hyperlink w:history="1">
        <w:r w:rsidRPr="00BE0274">
          <w:rPr>
            <w:rStyle w:val="Hyperlink"/>
            <w:rFonts w:ascii="GHEA Grapalat" w:hAnsi="GHEA Grapalat"/>
            <w:color w:val="000000" w:themeColor="text1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BE0274">
          <w:rPr>
            <w:rStyle w:val="Hyperlink"/>
            <w:rFonts w:ascii="GHEA Grapalat" w:hAnsi="GHEA Grapalat" w:cs="Arial"/>
            <w:color w:val="000000" w:themeColor="text1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BE0274">
        <w:rPr>
          <w:rStyle w:val="apple-converted-space"/>
          <w:rFonts w:ascii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կառավարում)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ինտերնետային կայքի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Ինտերակտիվ բյուջե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¦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բաժինը:</w:t>
      </w:r>
    </w:p>
    <w:p w:rsidR="009F3D8B" w:rsidRPr="00BE0274" w:rsidRDefault="009F3D8B" w:rsidP="009F3D8B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</w:t>
      </w:r>
      <w:r w:rsidR="00B974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100-ից ավելի ենթաոլորտներ՝ կազմելով Հայաստանի Հանրապետության 201</w:t>
      </w:r>
      <w:r w:rsidR="00432C61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թ. պետական բյուջեի ծախսերի շուրջ 90 %-ը:</w:t>
      </w:r>
    </w:p>
    <w:p w:rsidR="00394182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5-րդ ենթակետով և  117-րդ կետի 3-րդ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CB4E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ապրիլ-հունիս ամիսների ընթացքում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A02521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6</w:t>
      </w:r>
      <w:r w:rsidR="00C212BD" w:rsidRPr="007332B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A95BF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</w:t>
      </w:r>
      <w:r w:rsidR="00693F9C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ի</w:t>
      </w:r>
      <w:r w:rsidR="006D4997" w:rsidRPr="002D39B8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CB4E0F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2019 թվականի պետական բյուջեով նախատեսված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եկամուտների հավաքագրման ընթացքի վերաբերյալ՝ ներառյալ  201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8</w:t>
      </w:r>
      <w:r w:rsidR="00E2783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թ․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տվյալները: 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</w:t>
      </w:r>
      <w:r w:rsidR="00394182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տեղակալներին</w:t>
      </w:r>
      <w:r w:rsidR="00394182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, բոլոր  մշտական հանձնաժողովներին ու խմբակցություններին, պատգամավորների: </w:t>
      </w:r>
    </w:p>
    <w:p w:rsidR="00394182" w:rsidRPr="00BE0274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</w:t>
      </w:r>
      <w:r w:rsidR="00822FBF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թթ.  ամս</w:t>
      </w:r>
      <w:r w:rsidR="0055799C" w:rsidRPr="00821D7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 ամփոփ բնութագրերը և 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>§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</w:t>
      </w:r>
      <w:r w:rsidR="00C212BD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E0274">
        <w:rPr>
          <w:rFonts w:ascii="Arial Armenian" w:hAnsi="Arial Armenian"/>
          <w:color w:val="000000" w:themeColor="text1"/>
          <w:sz w:val="24"/>
          <w:szCs w:val="24"/>
          <w:lang w:val="hy-AM"/>
        </w:rPr>
        <w:t xml:space="preserve">¦ 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BE04BF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27.12.2018 թվականի թիվ 1515-Ն որոշումը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;</w:t>
      </w:r>
    </w:p>
    <w:p w:rsidR="00411BA4" w:rsidRPr="00BE0274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</w:t>
      </w:r>
      <w:r w:rsidR="00F20977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տեղեկանքներ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822FB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</w:t>
      </w:r>
      <w:r w:rsidR="004C0B3D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</w:t>
      </w:r>
      <w:r w:rsidR="00B6040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թ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Պատրաստված </w:t>
      </w:r>
      <w:r w:rsidR="007332B9" w:rsidRPr="007332B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5BF2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տեսակի</w:t>
      </w:r>
      <w:r w:rsidR="00F2097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տեղեկանքները</w:t>
      </w:r>
      <w:r w:rsidR="00FB75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2097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տրամադրվել են 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3E0CFE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զգային 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lastRenderedPageBreak/>
        <w:t>ժողովի նախագահի</w:t>
      </w:r>
      <w:r w:rsidR="00301750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ինչպես նաև</w:t>
      </w:r>
      <w:r w:rsidR="00411BA4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պատգամավորների: </w:t>
      </w:r>
    </w:p>
    <w:p w:rsidR="008E1442" w:rsidRPr="00BE0274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</w:t>
      </w:r>
      <w:r w:rsidR="00086EC5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-201</w:t>
      </w:r>
      <w:r w:rsidR="00301750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թթ  ՀՀ սոցիալ-տնտեսական վիճակի վերաբերյալ;</w:t>
      </w:r>
    </w:p>
    <w:p w:rsidR="00C0792E" w:rsidRPr="00BE0274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պատրաստել է  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="00BE0274" w:rsidRPr="007332B9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0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CB4E0F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տեսակի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տեղեկանքներ</w:t>
      </w:r>
      <w:r w:rsidR="00FB7505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</w:t>
      </w:r>
      <w:r w:rsidR="00B43D83"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2019 թվականի պետական պարտքի վերաբերյա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որոնք  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ն ու նրա տեղակալներին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պատգամավորների:</w:t>
      </w:r>
    </w:p>
    <w:p w:rsidR="00C0792E" w:rsidRPr="00BE0274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5799C" w:rsidRPr="00821D7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>կան տեղեկագրերը;</w:t>
      </w:r>
    </w:p>
    <w:p w:rsidR="00D02EC2" w:rsidRPr="00273B58" w:rsidRDefault="00BB0FF9" w:rsidP="00A025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115-րդ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4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 xml:space="preserve">-րդ ենթակետով և  117-րդ կետի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3</w:t>
      </w:r>
      <w:r w:rsidRPr="00BE0274">
        <w:rPr>
          <w:rFonts w:ascii="GHEA Grapalat" w:hAnsi="GHEA Grapalat" w:cs="Arial Unicode"/>
          <w:color w:val="000000" w:themeColor="text1"/>
          <w:sz w:val="24"/>
          <w:szCs w:val="24"/>
          <w:lang w:val="hy-AM" w:eastAsia="ru-RU"/>
        </w:rPr>
        <w:t>-րդ ենթակետով</w:t>
      </w:r>
      <w:r w:rsidRPr="00BE02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օգտագործելով 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«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ԳԳՕ</w:t>
      </w:r>
      <w:r w:rsidR="00693F9C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»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համակարգի (LS Finance) հնարավորությունները, յուրաքանչյուր ամսվա 10-րդ, 20-րդ և  վերջին օրերի դրությամբ, Ազգային ժողովի տնտեսական հարցերի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ֆինանսավարկային և բյուջետային հարցերի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մշտական 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</w:t>
      </w:r>
      <w:r w:rsidR="00086EC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ներին</w:t>
      </w:r>
      <w:r w:rsidR="00704667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 շահագրգիռ պատգամավորներին </w:t>
      </w:r>
      <w:r w:rsidR="00E25D06" w:rsidRPr="00BE0274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են տրամադրվել </w:t>
      </w:r>
      <w:r w:rsidR="00A0252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16</w:t>
      </w:r>
      <w:r w:rsidR="00CB4E0F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տեսակի տեղեկանքներ </w:t>
      </w:r>
      <w:r w:rsidR="00E25D0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 xml:space="preserve">տեղեկանքներ </w:t>
      </w:r>
      <w:r w:rsidR="00704667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2019 թվականի պետական բյուջեի կատարման ընթացքի վերաբերյալ (հաշվետվության ձև 6210</w:t>
      </w:r>
      <w:r w:rsidR="0055799C" w:rsidRPr="007332B9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)</w:t>
      </w:r>
      <w:r w:rsidR="003A06B1" w:rsidRPr="00A02521">
        <w:rPr>
          <w:rFonts w:ascii="GHEA Grapalat" w:hAnsi="GHEA Grapalat" w:cs="Sylfaen"/>
          <w:sz w:val="24"/>
          <w:szCs w:val="24"/>
          <w:lang w:val="es-ES"/>
        </w:rPr>
        <w:t>:</w:t>
      </w:r>
    </w:p>
    <w:p w:rsidR="00273B58" w:rsidRPr="0040022E" w:rsidRDefault="00273B58" w:rsidP="00273B58">
      <w:pPr>
        <w:spacing w:after="0" w:line="360" w:lineRule="auto"/>
        <w:ind w:left="720"/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</w:pPr>
      <w:r w:rsidRPr="0040022E">
        <w:rPr>
          <w:rFonts w:ascii="GHEA Grapalat" w:hAnsi="GHEA Grapalat" w:cs="Arial Unicode"/>
          <w:b/>
          <w:color w:val="000000" w:themeColor="text1"/>
          <w:sz w:val="24"/>
          <w:szCs w:val="24"/>
          <w:u w:val="single"/>
          <w:lang w:val="hy-AM"/>
        </w:rPr>
        <w:t>Աջակցության տրամադրում</w:t>
      </w:r>
    </w:p>
    <w:p w:rsidR="003A06B1" w:rsidRPr="003A06B1" w:rsidRDefault="00D22695" w:rsidP="00D22695">
      <w:pPr>
        <w:pStyle w:val="ListParagraph"/>
        <w:spacing w:line="360" w:lineRule="auto"/>
        <w:ind w:left="0"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պ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աշտպանության եւ անվտանգության հարցերի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 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արտաքին հարաբերությունների, տնտեսական հարցերի, 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տ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արածքային կառավարման, տեղական ինքնակառավարման, գյուղատնտեսության եւ բնապահպանության հարցերի 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մշտական հանձնաժողովները ղեկավարվելով Ազգային ժողովի աշխատակարգի 115-րդ և 118-րդ կետերով հարցումներ են ներկայացրել Հայաստանի Հանրապետության Ազգային ժողովի բ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յուջետային գրասենյակ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սույն թվականի օգոստոս-սեպտեմբեր ամիսներին, 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Հայաստանի Հանրաետության 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lastRenderedPageBreak/>
        <w:t>2020 թվականի պետական բյուջեի նախագծի նախնական տարբերակի քննարկման համատեքստում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վերոնշյալ հանձնաժողովներում ձևավորվող աշխատանքային խմբերին 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հանձնաժողովների գործունեության ոլորտներում իրականացվող բյուջետային ծրագրերի բարելավման և դրանց կատարողական հիմնական ցուցանիշների մշակման գործում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աջակցություն տրամադրելու վերաբերյալ։ Միաժամանակ, վերոնշյալ քննարկումների համատեքստում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մշտական հանձնաժողովների հրավերներով, 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բ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յուջետային գրասենյակ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ի համակարգող փորձագետն ու մյուս փորձագետները մասնակցել են 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ֆ</w:t>
      </w:r>
      <w:r w:rsidR="001D0758"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ինանսավարկային եւ բյուջետային հարցերի, 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</w:t>
      </w:r>
      <w:r w:rsidR="001D0758"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ռողջապահության եւ սոցիալական հարցերի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, պետական-իրավական հարցերի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և</w:t>
      </w:r>
      <w:r w:rsidR="001D0758"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մ</w:t>
      </w:r>
      <w:r w:rsidR="001D0758"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արդու իրավունքների պաշտպանության եւ հանրային հարցերի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մշտական հանձնաժողովների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1D0758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աշխատանքային քննարկումներին</w:t>
      </w:r>
      <w:r w:rsidR="0091404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, որոնք վերաբերվում էին 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հանձնաժողովների գործունեության ոլորտներում իրականացվող բյուջետային ծրագրերի բարելավման</w:t>
      </w:r>
      <w:r w:rsidR="0091404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ն ու</w:t>
      </w:r>
      <w:r w:rsidRPr="0040022E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դրանց կատարողական հիմնական ցուցանիշների մշակման</w:t>
      </w:r>
      <w:r w:rsidR="0091404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ը։ </w:t>
      </w:r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Բյուջետային գրասենյակի համակարգող փորձագետն ու մյուս փորձագետները մասնակցել են </w:t>
      </w:r>
      <w:r w:rsidR="00914041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>Ազգային ժողովի մշտական</w:t>
      </w:r>
      <w:bookmarkStart w:id="0" w:name="_GoBack"/>
      <w:bookmarkEnd w:id="0"/>
      <w:r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 հանձանժողովների կողմից ստեղծված աշխատանաքային խմբերի 24 աշխատանքային քննարկումների՝ ներկայացնելով բազմաթիվ դիտողություններ և առաջարկություններ։</w:t>
      </w:r>
    </w:p>
    <w:p w:rsidR="00D22695" w:rsidRPr="00D22695" w:rsidRDefault="00D22695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16"/>
          <w:szCs w:val="16"/>
          <w:u w:val="single"/>
          <w:lang w:val="hy-AM" w:eastAsia="ru-RU"/>
        </w:rPr>
      </w:pPr>
    </w:p>
    <w:p w:rsidR="00746BBE" w:rsidRDefault="00746BBE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F86EE2" w:rsidRPr="00F86EE2" w:rsidRDefault="00F86EE2" w:rsidP="00746BBE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color w:val="000000" w:themeColor="text1"/>
          <w:sz w:val="6"/>
          <w:szCs w:val="6"/>
          <w:u w:val="single"/>
          <w:lang w:val="hy-AM" w:eastAsia="ru-RU"/>
        </w:rPr>
      </w:pPr>
    </w:p>
    <w:p w:rsidR="004B09D0" w:rsidRDefault="004B09D0" w:rsidP="006B532F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 w:rsidRPr="004B09D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Ազգային ժ</w:t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ողովի կարողությունների զարգացում գործառույթի շրջանականերում</w:t>
      </w:r>
    </w:p>
    <w:p w:rsidR="00BA34F5" w:rsidRDefault="00E2715F" w:rsidP="006B532F">
      <w:pPr>
        <w:pStyle w:val="ListParagraph"/>
        <w:spacing w:line="360" w:lineRule="auto"/>
        <w:ind w:left="142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</w:t>
      </w:r>
      <w:r w:rsidR="004425F7" w:rsidRPr="004425F7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յուջետային գրասենյակը</w:t>
      </w:r>
      <w:r w:rsidR="004B09D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երրորդ եռամսյակում աշխատանքներ չի իրականացրել։ Ընդհանուր առմամբ, ինն ամիսների ընթացքում </w:t>
      </w:r>
      <w:r w:rsidR="00BA34F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Բյուեջատային գրասենյակի կողմից Ազգային ժողովի կարողությունների շարունակական զարգացման գործառույթի իրացման համատեքստում կազմակերպվ</w:t>
      </w:r>
      <w:r w:rsidR="00374E4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ել են</w:t>
      </w:r>
      <w:r w:rsidR="00BA34F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4 սեմինարներին</w:t>
      </w:r>
      <w:r w:rsidR="00374E4D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>, որոնց</w:t>
      </w:r>
      <w:r w:rsidR="00BA34F5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 մասնակցել են 104 պատգամավորներ, պատգամավորի օգնականներ և փորձագետներ։</w:t>
      </w:r>
    </w:p>
    <w:p w:rsidR="008C4CCA" w:rsidRPr="00BE0274" w:rsidRDefault="00751B31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</w:pP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Ներգրավվածություն</w:t>
      </w:r>
      <w:r w:rsidR="00B64F95"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>ն</w:t>
      </w:r>
      <w:r w:rsidRPr="00BE0274">
        <w:rPr>
          <w:rFonts w:ascii="GHEA Grapalat" w:eastAsia="Times New Roman" w:hAnsi="GHEA Grapalat" w:cs="Arial Unicode"/>
          <w:b/>
          <w:color w:val="000000" w:themeColor="text1"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E0274" w:rsidRDefault="00751B31" w:rsidP="000D240F">
      <w:pPr>
        <w:spacing w:after="0" w:line="360" w:lineRule="auto"/>
        <w:rPr>
          <w:rFonts w:ascii="GHEA Grapalat" w:eastAsia="Times New Roman" w:hAnsi="GHEA Grapalat" w:cs="Arial Unicode"/>
          <w:color w:val="000000" w:themeColor="text1"/>
          <w:sz w:val="6"/>
          <w:szCs w:val="6"/>
          <w:lang w:val="hy-AM" w:eastAsia="ru-RU"/>
        </w:rPr>
      </w:pPr>
    </w:p>
    <w:p w:rsidR="00EB2739" w:rsidRPr="00BE0274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Բյուջետային գրասենյակի աշխատակազմը </w:t>
      </w:r>
      <w:r w:rsidR="00755E94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ակտիվորեն </w:t>
      </w:r>
      <w:r w:rsidR="00E626BA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ներգրավված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</w:t>
      </w:r>
      <w:r w:rsidR="00EB2739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</w:p>
    <w:p w:rsidR="00787365" w:rsidRDefault="00787365" w:rsidP="0078736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«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պետական ֆինանսենրի քաղաքականության բարեփոխումների ծրագիր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ԵՄ բյուջետային ծրագրով Ազգային ժողովի մասով ամրագրված թիրախների իրգործման և մոնիթորինգի գործընթացում: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Այս շրջանակում Բյուջետային գրասենյակը Հայաստանի Հանրապետության ֆինանս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երի, ինչպես նաև  Հայաստանի Հանրապետության տնտեսական զարգացման և ներդրումների նախարարություններին տեղեկատվություն է տրամադրել 2018-2019թթ համար սահմանված թիրախների իրագործման և հնարավոր ռիսկերի վերաբերյալ։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Բյուջետային գրասենյակի համակարգող փորձագետ Գագիկ Բարսեղյանը սույն թվականի մայիսի </w:t>
      </w:r>
      <w:r w:rsidR="00D02E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23-ին մասնակցել է «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Հայաստանի Հանրապետությունում պետական ֆինանսենրի քաղաքականության բարեփոխումների ծրագիր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»</w:t>
      </w:r>
      <w:r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ԵՄ բյուջետային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աջակցության ֆինանսայան համաձայնագրի</w:t>
      </w:r>
      <w:r w:rsid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ղեկավար կոմիտեի նիստին։</w:t>
      </w:r>
    </w:p>
    <w:p w:rsidR="001B6429" w:rsidRPr="001B6429" w:rsidRDefault="001B6429" w:rsidP="001B6429">
      <w:pPr>
        <w:pStyle w:val="ListParagraph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Բյուջետային գրասենյակի համակարգող փորձագետ Գագիկ Բարսեղյանը սույն թվականի օգոստոսի 9-ին Հայաստանի Հանրապետության ֆինանսների նախարարությունում և սեպտեմբերի 5-ին ՀՀ փոխվարչապետ պարոն Մ</w:t>
      </w:r>
      <w:r w:rsidRPr="001B6429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P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B642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Գրիգորյանի</w:t>
      </w:r>
      <w:r w:rsidRP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1B642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մոտ</w:t>
      </w:r>
      <w:r w:rsidRP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մասնակցել է «Հայաստանի Հանրապետությունում պետական ֆինանսենրի քաղաքականության բարեփոխումների ծրագիր» ԵՄ բյուջետային աջակցության ֆինանսական համաձայնագրի ներքո 2018-2019թթ</w:t>
      </w:r>
      <w:r w:rsidRPr="001B6429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P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կատարման ենթակա ընդհանուր և հատուկ պայմաններին առնչվող հարցերի վերաբերյալ քննարկումներին;</w:t>
      </w:r>
    </w:p>
    <w:p w:rsidR="00EB2739" w:rsidRPr="00BE0274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Պետական Ֆինանսների Կառավարման Համակարգի Բարեփոխումների </w:t>
      </w:r>
      <w:r w:rsidR="006F49D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իրականացման և մոնիթորինգի գործընթացում</w:t>
      </w:r>
      <w:r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որի շրջանակում </w:t>
      </w:r>
      <w:r w:rsidR="00F667D6" w:rsidRPr="00BE0274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 w:eastAsia="ru-RU"/>
        </w:rPr>
        <w:t xml:space="preserve">Բյուջետային գրասենյակը </w:t>
      </w:r>
      <w:r w:rsidR="0076631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տեղեկատվություն է տրամադրել Հայաստանի Հանրապետության ֆինանսերի նախարարության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201</w:t>
      </w:r>
      <w:r w:rsidR="00BC313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թվականի </w:t>
      </w:r>
      <w:r w:rsidR="00BC313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առաջին </w:t>
      </w:r>
      <w:r w:rsidR="001B64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կիսամյակի</w:t>
      </w:r>
      <w:r w:rsidR="00BC313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ընթացքում</w:t>
      </w:r>
      <w:r w:rsidR="00693F9C" w:rsidRPr="002D39B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F55DE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վերոնշյալ ծրագրով ամրագրված ուղղություններով </w:t>
      </w:r>
      <w:r w:rsidR="002C0383" w:rsidRPr="00BE027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իրականացված միջոցառումների վերաբերյալ</w:t>
      </w:r>
      <w:r w:rsidR="00DD7DD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ED5636" w:rsidRPr="00BE0274" w:rsidRDefault="00ED5636" w:rsidP="00DD7DDF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sectPr w:rsidR="00ED5636" w:rsidRPr="00BE0274" w:rsidSect="00821D7D">
      <w:footerReference w:type="default" r:id="rId9"/>
      <w:pgSz w:w="12240" w:h="15840"/>
      <w:pgMar w:top="1134" w:right="72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00" w:rsidRDefault="00791300" w:rsidP="00245DE9">
      <w:pPr>
        <w:spacing w:after="0" w:line="240" w:lineRule="auto"/>
      </w:pPr>
      <w:r>
        <w:separator/>
      </w:r>
    </w:p>
  </w:endnote>
  <w:endnote w:type="continuationSeparator" w:id="0">
    <w:p w:rsidR="00791300" w:rsidRDefault="00791300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48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0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00" w:rsidRDefault="00791300" w:rsidP="00245DE9">
      <w:pPr>
        <w:spacing w:after="0" w:line="240" w:lineRule="auto"/>
      </w:pPr>
      <w:r>
        <w:separator/>
      </w:r>
    </w:p>
  </w:footnote>
  <w:footnote w:type="continuationSeparator" w:id="0">
    <w:p w:rsidR="00791300" w:rsidRDefault="00791300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238A0"/>
    <w:multiLevelType w:val="hybridMultilevel"/>
    <w:tmpl w:val="8F4E42FE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9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9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6"/>
  </w:num>
  <w:num w:numId="17">
    <w:abstractNumId w:val="6"/>
  </w:num>
  <w:num w:numId="18">
    <w:abstractNumId w:val="20"/>
  </w:num>
  <w:num w:numId="19">
    <w:abstractNumId w:val="3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207F7"/>
    <w:rsid w:val="00024993"/>
    <w:rsid w:val="00027527"/>
    <w:rsid w:val="00034A51"/>
    <w:rsid w:val="000372CE"/>
    <w:rsid w:val="00043164"/>
    <w:rsid w:val="000531A9"/>
    <w:rsid w:val="0006395D"/>
    <w:rsid w:val="00072223"/>
    <w:rsid w:val="00074F84"/>
    <w:rsid w:val="00076303"/>
    <w:rsid w:val="000819F4"/>
    <w:rsid w:val="00086EC5"/>
    <w:rsid w:val="00091F86"/>
    <w:rsid w:val="00094966"/>
    <w:rsid w:val="00097694"/>
    <w:rsid w:val="000A100E"/>
    <w:rsid w:val="000A3331"/>
    <w:rsid w:val="000B15CC"/>
    <w:rsid w:val="000C0B73"/>
    <w:rsid w:val="000C31F9"/>
    <w:rsid w:val="000C7281"/>
    <w:rsid w:val="000D240F"/>
    <w:rsid w:val="000D5414"/>
    <w:rsid w:val="000E4951"/>
    <w:rsid w:val="000E71A9"/>
    <w:rsid w:val="000F547F"/>
    <w:rsid w:val="000F5A64"/>
    <w:rsid w:val="001128C1"/>
    <w:rsid w:val="00114966"/>
    <w:rsid w:val="00117055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9243F"/>
    <w:rsid w:val="00193F23"/>
    <w:rsid w:val="001A3B39"/>
    <w:rsid w:val="001A47B0"/>
    <w:rsid w:val="001B6429"/>
    <w:rsid w:val="001C49F6"/>
    <w:rsid w:val="001D0758"/>
    <w:rsid w:val="001D230E"/>
    <w:rsid w:val="001E3161"/>
    <w:rsid w:val="001E4B71"/>
    <w:rsid w:val="001F0A9B"/>
    <w:rsid w:val="001F2AB8"/>
    <w:rsid w:val="001F3D18"/>
    <w:rsid w:val="0020081D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4D52"/>
    <w:rsid w:val="002B696D"/>
    <w:rsid w:val="002C0383"/>
    <w:rsid w:val="002D39B8"/>
    <w:rsid w:val="002E5A94"/>
    <w:rsid w:val="002E6E5A"/>
    <w:rsid w:val="00301354"/>
    <w:rsid w:val="00301750"/>
    <w:rsid w:val="00315A09"/>
    <w:rsid w:val="00320AF6"/>
    <w:rsid w:val="00321E08"/>
    <w:rsid w:val="00322ED1"/>
    <w:rsid w:val="00333FF6"/>
    <w:rsid w:val="00370836"/>
    <w:rsid w:val="00374E4D"/>
    <w:rsid w:val="00377C6E"/>
    <w:rsid w:val="0038662B"/>
    <w:rsid w:val="0039006F"/>
    <w:rsid w:val="00391648"/>
    <w:rsid w:val="00394182"/>
    <w:rsid w:val="003A06B1"/>
    <w:rsid w:val="003A231E"/>
    <w:rsid w:val="003B2605"/>
    <w:rsid w:val="003B3A63"/>
    <w:rsid w:val="003E0CFE"/>
    <w:rsid w:val="003F667F"/>
    <w:rsid w:val="0040022E"/>
    <w:rsid w:val="00400EE0"/>
    <w:rsid w:val="0040651B"/>
    <w:rsid w:val="00411BA4"/>
    <w:rsid w:val="004175B5"/>
    <w:rsid w:val="004178C6"/>
    <w:rsid w:val="00432C61"/>
    <w:rsid w:val="004425F7"/>
    <w:rsid w:val="00447149"/>
    <w:rsid w:val="00455526"/>
    <w:rsid w:val="00464F7B"/>
    <w:rsid w:val="00474305"/>
    <w:rsid w:val="00476EB2"/>
    <w:rsid w:val="00483682"/>
    <w:rsid w:val="00494111"/>
    <w:rsid w:val="004A2284"/>
    <w:rsid w:val="004A344F"/>
    <w:rsid w:val="004A53AB"/>
    <w:rsid w:val="004B09D0"/>
    <w:rsid w:val="004B0D33"/>
    <w:rsid w:val="004B0DF6"/>
    <w:rsid w:val="004C0B3D"/>
    <w:rsid w:val="004C19F8"/>
    <w:rsid w:val="004D12BF"/>
    <w:rsid w:val="004D7B82"/>
    <w:rsid w:val="004E171F"/>
    <w:rsid w:val="00502767"/>
    <w:rsid w:val="0050629B"/>
    <w:rsid w:val="00522800"/>
    <w:rsid w:val="00527D46"/>
    <w:rsid w:val="00534E6A"/>
    <w:rsid w:val="0055487D"/>
    <w:rsid w:val="0055799C"/>
    <w:rsid w:val="005727B2"/>
    <w:rsid w:val="00574092"/>
    <w:rsid w:val="005856CF"/>
    <w:rsid w:val="0058584F"/>
    <w:rsid w:val="00585A2B"/>
    <w:rsid w:val="005D5CD8"/>
    <w:rsid w:val="005D6474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33501"/>
    <w:rsid w:val="0064092D"/>
    <w:rsid w:val="00647142"/>
    <w:rsid w:val="00653E2D"/>
    <w:rsid w:val="006802EB"/>
    <w:rsid w:val="0068467D"/>
    <w:rsid w:val="00693DCD"/>
    <w:rsid w:val="00693F9C"/>
    <w:rsid w:val="006A0757"/>
    <w:rsid w:val="006A19CA"/>
    <w:rsid w:val="006A3FCA"/>
    <w:rsid w:val="006A70CA"/>
    <w:rsid w:val="006B0414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6BBE"/>
    <w:rsid w:val="00751B31"/>
    <w:rsid w:val="00754878"/>
    <w:rsid w:val="00755E94"/>
    <w:rsid w:val="00764203"/>
    <w:rsid w:val="007661E5"/>
    <w:rsid w:val="00766313"/>
    <w:rsid w:val="00774622"/>
    <w:rsid w:val="007752B0"/>
    <w:rsid w:val="007869E2"/>
    <w:rsid w:val="00787365"/>
    <w:rsid w:val="00791300"/>
    <w:rsid w:val="007A125D"/>
    <w:rsid w:val="007A5280"/>
    <w:rsid w:val="007A6AF5"/>
    <w:rsid w:val="007B0CBB"/>
    <w:rsid w:val="007B4B9A"/>
    <w:rsid w:val="007C3133"/>
    <w:rsid w:val="007C39DB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E1442"/>
    <w:rsid w:val="008E7909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84333"/>
    <w:rsid w:val="009A226A"/>
    <w:rsid w:val="009A72FC"/>
    <w:rsid w:val="009B0DF7"/>
    <w:rsid w:val="009C4500"/>
    <w:rsid w:val="009F2249"/>
    <w:rsid w:val="009F2B49"/>
    <w:rsid w:val="009F3BFB"/>
    <w:rsid w:val="009F3D8B"/>
    <w:rsid w:val="009F78D9"/>
    <w:rsid w:val="00A02521"/>
    <w:rsid w:val="00A075D7"/>
    <w:rsid w:val="00A14A75"/>
    <w:rsid w:val="00A16641"/>
    <w:rsid w:val="00A215AE"/>
    <w:rsid w:val="00A302B9"/>
    <w:rsid w:val="00A42543"/>
    <w:rsid w:val="00A42A71"/>
    <w:rsid w:val="00A5203B"/>
    <w:rsid w:val="00A720E4"/>
    <w:rsid w:val="00A85824"/>
    <w:rsid w:val="00A86DD9"/>
    <w:rsid w:val="00A91911"/>
    <w:rsid w:val="00A95BF2"/>
    <w:rsid w:val="00AA25D7"/>
    <w:rsid w:val="00AB5337"/>
    <w:rsid w:val="00AD0F43"/>
    <w:rsid w:val="00AF43E7"/>
    <w:rsid w:val="00B00136"/>
    <w:rsid w:val="00B04931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74A1"/>
    <w:rsid w:val="00BA34F5"/>
    <w:rsid w:val="00BA70F2"/>
    <w:rsid w:val="00BA7D23"/>
    <w:rsid w:val="00BB0FF9"/>
    <w:rsid w:val="00BC20DA"/>
    <w:rsid w:val="00BC3132"/>
    <w:rsid w:val="00BE0274"/>
    <w:rsid w:val="00BE04BF"/>
    <w:rsid w:val="00BE395A"/>
    <w:rsid w:val="00BE6738"/>
    <w:rsid w:val="00BF7814"/>
    <w:rsid w:val="00C07338"/>
    <w:rsid w:val="00C0792E"/>
    <w:rsid w:val="00C102E6"/>
    <w:rsid w:val="00C13A4F"/>
    <w:rsid w:val="00C212BD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A6B8A"/>
    <w:rsid w:val="00CB00D9"/>
    <w:rsid w:val="00CB1A1B"/>
    <w:rsid w:val="00CB4E0F"/>
    <w:rsid w:val="00CC7F07"/>
    <w:rsid w:val="00CD25A3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43BC"/>
    <w:rsid w:val="00D469AD"/>
    <w:rsid w:val="00D46ED5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81C24"/>
    <w:rsid w:val="00E840F3"/>
    <w:rsid w:val="00E87B24"/>
    <w:rsid w:val="00EB2739"/>
    <w:rsid w:val="00ED5636"/>
    <w:rsid w:val="00ED74AC"/>
    <w:rsid w:val="00EE6053"/>
    <w:rsid w:val="00EE697C"/>
    <w:rsid w:val="00EF3CB2"/>
    <w:rsid w:val="00EF5CFC"/>
    <w:rsid w:val="00F20977"/>
    <w:rsid w:val="00F260B3"/>
    <w:rsid w:val="00F27A0B"/>
    <w:rsid w:val="00F43E63"/>
    <w:rsid w:val="00F547C3"/>
    <w:rsid w:val="00F667D6"/>
    <w:rsid w:val="00F672B4"/>
    <w:rsid w:val="00F84376"/>
    <w:rsid w:val="00F84C53"/>
    <w:rsid w:val="00F86EE2"/>
    <w:rsid w:val="00F9019C"/>
    <w:rsid w:val="00F94FE3"/>
    <w:rsid w:val="00F961E0"/>
    <w:rsid w:val="00FA71A2"/>
    <w:rsid w:val="00FB122B"/>
    <w:rsid w:val="00FB7505"/>
    <w:rsid w:val="00FC02C8"/>
    <w:rsid w:val="00FC77A9"/>
    <w:rsid w:val="00FD0761"/>
    <w:rsid w:val="00FD3210"/>
    <w:rsid w:val="00FD5C6E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3CCE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CF1-D0E1-4064-B3AA-E15A44AC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25</cp:revision>
  <cp:lastPrinted>2019-07-16T12:27:00Z</cp:lastPrinted>
  <dcterms:created xsi:type="dcterms:W3CDTF">2019-07-08T07:49:00Z</dcterms:created>
  <dcterms:modified xsi:type="dcterms:W3CDTF">2019-10-15T07:13:00Z</dcterms:modified>
</cp:coreProperties>
</file>