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BE0274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Default="00C43CE4" w:rsidP="00C43CE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  <w:r w:rsidRPr="00BE0274">
        <w:rPr>
          <w:rFonts w:ascii="GHEA Grapalat" w:hAnsi="GHEA Grapalat"/>
          <w:b/>
          <w:color w:val="000000" w:themeColor="text1"/>
          <w:sz w:val="40"/>
          <w:szCs w:val="40"/>
        </w:rPr>
        <w:t>ՀԱՇՎԵՏՎՈՒԹՅՈՒՆ</w:t>
      </w:r>
    </w:p>
    <w:p w:rsidR="00F94FE3" w:rsidRPr="00BE0274" w:rsidRDefault="00F94FE3" w:rsidP="00C43CE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Pr="00BE0274" w:rsidRDefault="00B67001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BE0274">
        <w:rPr>
          <w:rFonts w:ascii="GHEA Grapalat" w:hAnsi="GHEA Grapalat"/>
          <w:color w:val="000000" w:themeColor="text1"/>
          <w:sz w:val="28"/>
          <w:szCs w:val="28"/>
        </w:rPr>
        <w:t xml:space="preserve">ԲՅՈՒՋԵՏԱՅԻՆ ԳՐԱՍԵՆՅԱԿԻ ԿԱՏԱՐԱԾ ԱՇԽԱՏԱՆՔՆԵՐԻ ՎԵՐԱԲԵՐՅԱԼ </w:t>
      </w:r>
    </w:p>
    <w:p w:rsidR="00C43CE4" w:rsidRPr="00BE0274" w:rsidRDefault="00D443BC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BE0274">
        <w:rPr>
          <w:rFonts w:ascii="GHEA Grapalat" w:hAnsi="GHEA Grapalat"/>
          <w:color w:val="000000" w:themeColor="text1"/>
          <w:sz w:val="28"/>
          <w:szCs w:val="28"/>
        </w:rPr>
        <w:t>(</w:t>
      </w:r>
      <w:r w:rsidR="00E27830">
        <w:rPr>
          <w:rFonts w:ascii="GHEA Grapalat" w:hAnsi="GHEA Grapalat"/>
          <w:color w:val="000000" w:themeColor="text1"/>
          <w:sz w:val="28"/>
          <w:szCs w:val="28"/>
          <w:lang w:val="hy-AM"/>
        </w:rPr>
        <w:t>ԵՐԿՐՈՐԴ</w:t>
      </w:r>
      <w:r w:rsidR="006B0414" w:rsidRPr="00BE0274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ԵՌԱՄՍՅԱԿ</w:t>
      </w:r>
      <w:r w:rsidR="00C43CE4" w:rsidRPr="00BE0274">
        <w:rPr>
          <w:rFonts w:ascii="GHEA Grapalat" w:hAnsi="GHEA Grapalat"/>
          <w:color w:val="000000" w:themeColor="text1"/>
          <w:sz w:val="28"/>
          <w:szCs w:val="28"/>
        </w:rPr>
        <w:t>)</w:t>
      </w: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BE0274" w:rsidRDefault="00D443BC" w:rsidP="00D46ED5">
      <w:pPr>
        <w:spacing w:after="0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BE0274">
        <w:rPr>
          <w:noProof/>
          <w:color w:val="000000" w:themeColor="text1"/>
        </w:rPr>
        <w:drawing>
          <wp:inline distT="0" distB="0" distL="0" distR="0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BE0274" w:rsidRDefault="006A70CA" w:rsidP="00D46ED5">
      <w:pPr>
        <w:spacing w:after="0"/>
        <w:rPr>
          <w:rFonts w:ascii="GHEA Grapalat" w:hAnsi="GHEA Grapalat"/>
          <w:color w:val="000000" w:themeColor="text1"/>
          <w:sz w:val="56"/>
          <w:szCs w:val="56"/>
        </w:rPr>
      </w:pPr>
      <w:r>
        <w:rPr>
          <w:rFonts w:ascii="GHEA Grapalat" w:hAnsi="GHEA Grapalat"/>
          <w:color w:val="000000" w:themeColor="text1"/>
          <w:sz w:val="56"/>
          <w:szCs w:val="56"/>
        </w:rPr>
        <w:t xml:space="preserve">                          </w:t>
      </w:r>
      <w:r w:rsidR="00D46ED5" w:rsidRPr="00BE0274">
        <w:rPr>
          <w:rFonts w:ascii="GHEA Grapalat" w:hAnsi="GHEA Grapalat"/>
          <w:color w:val="000000" w:themeColor="text1"/>
          <w:sz w:val="56"/>
          <w:szCs w:val="56"/>
        </w:rPr>
        <w:t>ԱԺԲԳ</w:t>
      </w: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</w:rPr>
        <w:t>ԵՐԵՎԱՆ-201</w:t>
      </w:r>
      <w:r w:rsidR="006B0414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</w:p>
    <w:p w:rsidR="00F27A0B" w:rsidRPr="00BE0274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D46ED5" w:rsidRPr="00BE0274" w:rsidRDefault="00D46ED5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BE0274">
        <w:rPr>
          <w:rFonts w:ascii="GHEA Grapalat" w:hAnsi="GHEA Grapalat" w:cs="Arial Unicode"/>
          <w:b/>
          <w:color w:val="000000" w:themeColor="text1"/>
          <w:lang w:eastAsia="ru-RU"/>
        </w:rPr>
        <w:t>ԲՈՎԱՆԴԱԿՈՒԹՅՈՒՆ</w:t>
      </w: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BE0274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BE0274">
        <w:rPr>
          <w:rFonts w:ascii="GHEA Grapalat" w:hAnsi="GHEA Grapalat" w:cs="Arial Unicode"/>
          <w:b/>
          <w:color w:val="000000" w:themeColor="text1"/>
          <w:lang w:eastAsia="ru-RU"/>
        </w:rPr>
        <w:t>ՆԱԽԱԲԱՆ</w:t>
      </w:r>
      <w:r w:rsidR="008C5E8C" w:rsidRPr="00BE0274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……………………………………………………………………………………………….3</w:t>
      </w:r>
    </w:p>
    <w:p w:rsidR="00CC7F07" w:rsidRPr="00BE0274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proofErr w:type="gramStart"/>
      <w:r w:rsidRPr="00BE0274">
        <w:rPr>
          <w:rFonts w:ascii="GHEA Grapalat" w:hAnsi="GHEA Grapalat" w:cs="Arial Unicode"/>
          <w:b/>
          <w:color w:val="000000" w:themeColor="text1"/>
          <w:lang w:eastAsia="ru-RU"/>
        </w:rPr>
        <w:t>ԳՈՐԾՈՒՆԵՈՒԹՅՈՒՆ</w:t>
      </w:r>
      <w:r w:rsidR="00774622" w:rsidRPr="00BE0274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r w:rsidR="00144132" w:rsidRPr="00BE0274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proofErr w:type="gramEnd"/>
      <w:r w:rsidR="008C5E8C" w:rsidRPr="00BE0274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………………………………………………………………………………3</w:t>
      </w:r>
    </w:p>
    <w:p w:rsidR="00E27830" w:rsidRDefault="00E27830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Ինքնաշխատ գործառույթների իրականացում</w:t>
      </w:r>
      <w:r w:rsidR="007A5280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</w:t>
      </w:r>
      <w:r w:rsidR="002A4001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3</w:t>
      </w:r>
    </w:p>
    <w:p w:rsidR="00CC7F07" w:rsidRPr="00BE0274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Հարցումների հիման վար տ</w:t>
      </w:r>
      <w:r w:rsidR="00CC7F07"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եղեկանքների պատրաստում և տրամադրում</w:t>
      </w:r>
      <w:r w:rsidR="007A5280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</w:t>
      </w:r>
      <w:r w:rsidR="008C5E8C" w:rsidRPr="002A4001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.3</w:t>
      </w:r>
    </w:p>
    <w:p w:rsidR="006F49D3" w:rsidRPr="00BE0274" w:rsidRDefault="006F49D3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proofErr w:type="spellStart"/>
      <w:r w:rsidRPr="00BE0274">
        <w:rPr>
          <w:rFonts w:ascii="GHEA Grapalat" w:hAnsi="GHEA Grapalat"/>
          <w:b/>
          <w:color w:val="000000" w:themeColor="text1"/>
        </w:rPr>
        <w:t>Ազգային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BE0274">
        <w:rPr>
          <w:rFonts w:ascii="GHEA Grapalat" w:hAnsi="GHEA Grapalat"/>
          <w:b/>
          <w:color w:val="000000" w:themeColor="text1"/>
        </w:rPr>
        <w:t>ժողովի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BE0274">
        <w:rPr>
          <w:rFonts w:ascii="GHEA Grapalat" w:hAnsi="GHEA Grapalat"/>
          <w:b/>
          <w:color w:val="000000" w:themeColor="text1"/>
        </w:rPr>
        <w:t>կարողությունների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BE0274">
        <w:rPr>
          <w:rFonts w:ascii="GHEA Grapalat" w:hAnsi="GHEA Grapalat"/>
          <w:b/>
          <w:color w:val="000000" w:themeColor="text1"/>
        </w:rPr>
        <w:t>զարգացում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>…………………………………….</w:t>
      </w:r>
      <w:r w:rsidR="007A5280">
        <w:rPr>
          <w:rFonts w:ascii="GHEA Grapalat" w:hAnsi="GHEA Grapalat"/>
          <w:b/>
          <w:color w:val="000000" w:themeColor="text1"/>
          <w:lang w:val="hy-AM"/>
        </w:rPr>
        <w:t>8</w:t>
      </w:r>
    </w:p>
    <w:p w:rsidR="00CC7F07" w:rsidRPr="00BE0274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BE0274">
        <w:rPr>
          <w:rFonts w:ascii="GHEA Grapalat" w:hAnsi="GHEA Grapalat"/>
          <w:b/>
          <w:color w:val="000000" w:themeColor="text1"/>
          <w:lang w:val="hy-AM"/>
        </w:rPr>
        <w:t>Ներգրավվածություն</w:t>
      </w:r>
      <w:r w:rsidR="002E5A94" w:rsidRPr="00BE0274">
        <w:rPr>
          <w:rFonts w:ascii="GHEA Grapalat" w:hAnsi="GHEA Grapalat"/>
          <w:b/>
          <w:color w:val="000000" w:themeColor="text1"/>
        </w:rPr>
        <w:t>ն</w:t>
      </w:r>
      <w:r w:rsidRPr="00BE0274">
        <w:rPr>
          <w:rFonts w:ascii="GHEA Grapalat" w:hAnsi="GHEA Grapalat"/>
          <w:b/>
          <w:color w:val="000000" w:themeColor="text1"/>
          <w:lang w:val="hy-AM"/>
        </w:rPr>
        <w:t xml:space="preserve"> այլ աշխատանքներում</w:t>
      </w:r>
      <w:r w:rsidR="00301354" w:rsidRPr="00BE0274">
        <w:rPr>
          <w:rFonts w:ascii="GHEA Grapalat" w:hAnsi="GHEA Grapalat"/>
          <w:b/>
          <w:color w:val="000000" w:themeColor="text1"/>
        </w:rPr>
        <w:t>……………………………………….</w:t>
      </w:r>
      <w:r w:rsidR="006F49D3" w:rsidRPr="00BE0274">
        <w:rPr>
          <w:rFonts w:ascii="GHEA Grapalat" w:hAnsi="GHEA Grapalat"/>
          <w:b/>
          <w:color w:val="000000" w:themeColor="text1"/>
        </w:rPr>
        <w:t>.</w:t>
      </w:r>
      <w:r w:rsidR="00301354" w:rsidRPr="00BE0274">
        <w:rPr>
          <w:rFonts w:ascii="GHEA Grapalat" w:hAnsi="GHEA Grapalat"/>
          <w:b/>
          <w:color w:val="000000" w:themeColor="text1"/>
        </w:rPr>
        <w:t>.</w:t>
      </w:r>
      <w:r w:rsidR="007A5280">
        <w:rPr>
          <w:rFonts w:ascii="GHEA Grapalat" w:hAnsi="GHEA Grapalat"/>
          <w:b/>
          <w:color w:val="000000" w:themeColor="text1"/>
          <w:lang w:val="hy-AM"/>
        </w:rPr>
        <w:t>9</w:t>
      </w:r>
    </w:p>
    <w:p w:rsidR="00AD0F43" w:rsidRPr="00BE0274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AD0F43" w:rsidRPr="00BE0274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BE0274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BE0274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821D7D" w:rsidRPr="00BE0274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Pr="00BE0274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322ED1" w:rsidRPr="00BE0274" w:rsidRDefault="00322ED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476EB2" w:rsidRPr="00BE0274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  <w:r w:rsidRPr="00BE0274">
        <w:rPr>
          <w:rFonts w:ascii="GHEA Grapalat" w:hAnsi="GHEA Grapalat" w:cs="Arial Unicode"/>
          <w:b/>
          <w:color w:val="000000" w:themeColor="text1"/>
          <w:lang w:val="hy-AM" w:eastAsia="ru-RU"/>
        </w:rPr>
        <w:lastRenderedPageBreak/>
        <w:t>ՆԱԽ</w:t>
      </w:r>
      <w:bookmarkStart w:id="0" w:name="_GoBack"/>
      <w:bookmarkEnd w:id="0"/>
      <w:r w:rsidRPr="00BE0274">
        <w:rPr>
          <w:rFonts w:ascii="GHEA Grapalat" w:hAnsi="GHEA Grapalat" w:cs="Arial Unicode"/>
          <w:b/>
          <w:color w:val="000000" w:themeColor="text1"/>
          <w:lang w:val="hy-AM" w:eastAsia="ru-RU"/>
        </w:rPr>
        <w:t>ԱԲԱՆ</w:t>
      </w:r>
    </w:p>
    <w:p w:rsidR="00476EB2" w:rsidRPr="00BE0274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color w:val="000000" w:themeColor="text1"/>
          <w:lang w:val="hy-AM" w:eastAsia="ru-RU"/>
        </w:rPr>
      </w:pPr>
    </w:p>
    <w:p w:rsidR="00F9019C" w:rsidRPr="00BE0274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յուջետային գրասենյակը</w:t>
      </w:r>
      <w:r w:rsidR="006F67EE" w:rsidRPr="006F67EE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(</w:t>
      </w:r>
      <w:r w:rsidR="006F67EE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այսուհետ՝ Բյուջետային գրասենյակ</w:t>
      </w:r>
      <w:r w:rsidR="006F67EE" w:rsidRPr="006F67EE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հաշվետու</w:t>
      </w:r>
      <w:r w:rsidR="00B974A1" w:rsidRP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ժամանակահատվածում</w:t>
      </w:r>
      <w:r w:rsid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B974A1" w:rsidRP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(01.04.2019</w:t>
      </w:r>
      <w:r w:rsid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</w:t>
      </w:r>
      <w:r w:rsidR="00B974A1" w:rsidRP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.-</w:t>
      </w:r>
      <w:r w:rsid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30․06․2019թ</w:t>
      </w:r>
      <w:r w:rsidR="00B974A1" w:rsidRP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</w:t>
      </w:r>
      <w:r w:rsidR="00B974A1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  <w:r w:rsidR="00693F9C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102E6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այլ </w:t>
      </w:r>
      <w:r w:rsidR="00693F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փորձագետներ</w:t>
      </w:r>
      <w:r w:rsidR="00693F9C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` 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Աշոտ Եղիազարյան</w:t>
      </w:r>
      <w:r w:rsidR="00F672B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Աշոտ Ավետիսյան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:</w:t>
      </w:r>
    </w:p>
    <w:p w:rsidR="00585A2B" w:rsidRPr="00BE0274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գրասենյակի </w:t>
      </w:r>
      <w:r w:rsidR="00B00136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կողմից կատարված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աշխատանքների վերաբերյալ </w:t>
      </w:r>
      <w:r w:rsid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երկրորդ</w:t>
      </w:r>
      <w:r w:rsidR="00D7436D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եռամսյակի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հաշվետվությունը կազմվել է Ազգային ժողովի աշխատակարգի 120-րդ կետի պահանջներից ելնելով:</w:t>
      </w:r>
    </w:p>
    <w:p w:rsidR="001F0A9B" w:rsidRPr="00BE0274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lang w:val="hy-AM" w:eastAsia="ru-RU"/>
        </w:rPr>
      </w:pPr>
    </w:p>
    <w:p w:rsidR="001F0A9B" w:rsidRPr="00BE0274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ԳՈՐԾՈՒՆԵՈՒԹՅՈՒՆ</w:t>
      </w:r>
    </w:p>
    <w:p w:rsidR="000B15CC" w:rsidRPr="00BE0274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16"/>
          <w:szCs w:val="16"/>
          <w:lang w:val="hy-AM"/>
        </w:rPr>
      </w:pPr>
    </w:p>
    <w:p w:rsidR="00CE4AAC" w:rsidRPr="00BE0274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E27830" w:rsidRPr="000A3331" w:rsidRDefault="00E27830" w:rsidP="000E4951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263342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Ինքնաշխատ գործառույթների իրականացում</w:t>
      </w:r>
      <w:r w:rsidR="00C102E6" w:rsidRPr="00C102E6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</w:t>
      </w:r>
      <w:r w:rsidR="00C102E6" w:rsidRPr="000A33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(Գործառույթներ որոնք իրականացվում են իմպերատիվ՝ իրավական ակտերով սահմանված դեպքերում և ժամկետներում, անկախ հարցման առկայության)</w:t>
      </w:r>
    </w:p>
    <w:p w:rsidR="00E27830" w:rsidRPr="00263342" w:rsidRDefault="00E27830" w:rsidP="00E27830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6"/>
          <w:szCs w:val="6"/>
          <w:u w:val="single"/>
          <w:lang w:val="hy-AM" w:eastAsia="ru-RU"/>
        </w:rPr>
      </w:pPr>
    </w:p>
    <w:p w:rsidR="00E27830" w:rsidRPr="00FD0E1D" w:rsidRDefault="00E27830" w:rsidP="000E495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</w:t>
      </w:r>
      <w:r w:rsidRPr="00FD0E1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աշխատակարգի 115-րդ կետի </w:t>
      </w:r>
      <w:r w:rsidR="00B974A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 </w:t>
      </w:r>
      <w:r w:rsidRPr="00FD0E1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9-րդ և 10-րդ ենթակետերով ու 116-րդ կետի 1-ին և 2-րդ ենթակետերով, սահմանված ժամկետներում</w:t>
      </w:r>
      <w:r w:rsidRPr="00FD0E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342">
        <w:rPr>
          <w:rFonts w:ascii="GHEA Grapalat" w:hAnsi="GHEA Grapalat" w:cs="Sylfaen"/>
          <w:sz w:val="24"/>
          <w:szCs w:val="24"/>
          <w:lang w:val="hy-AM"/>
        </w:rPr>
        <w:t>պատրստել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</w:t>
      </w:r>
      <w:r w:rsidRPr="00FD0E1D">
        <w:rPr>
          <w:rFonts w:ascii="GHEA Grapalat" w:hAnsi="GHEA Grapalat"/>
          <w:sz w:val="24"/>
          <w:szCs w:val="24"/>
          <w:lang w:val="hy-AM"/>
        </w:rPr>
        <w:t>`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27830" w:rsidRPr="00263342" w:rsidRDefault="00E27830" w:rsidP="00E2783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 ամփոփ նկարագ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>իրը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27830" w:rsidRPr="00263342" w:rsidRDefault="00E27830" w:rsidP="00E2783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201</w:t>
      </w:r>
      <w:r>
        <w:rPr>
          <w:rFonts w:ascii="GHEA Grapalat" w:hAnsi="GHEA Grapalat" w:cs="Arial Unicode"/>
          <w:sz w:val="24"/>
          <w:szCs w:val="24"/>
          <w:lang w:val="hy-AM"/>
        </w:rPr>
        <w:t>9</w:t>
      </w:r>
      <w:r w:rsidRPr="00263342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 պետական բյուջեի կատարման ընթացքի վերաբերյալ Կառավարության ներկայացրած տեղեկանքի ամփոփ նկարագիրը:</w:t>
      </w:r>
    </w:p>
    <w:p w:rsidR="00E27830" w:rsidRPr="000E4951" w:rsidRDefault="00E27830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u w:val="single"/>
          <w:lang w:val="hy-AM" w:eastAsia="ru-RU"/>
        </w:rPr>
      </w:pPr>
    </w:p>
    <w:p w:rsidR="00F20977" w:rsidRPr="00BE0274" w:rsidRDefault="002A4001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Հարցումների հիման վրա տ</w:t>
      </w:r>
      <w:r w:rsidR="00F20977"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եղեկանքների պատրաստում և տրամադրում</w:t>
      </w:r>
    </w:p>
    <w:p w:rsidR="00F20977" w:rsidRPr="00BE0274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22175A" w:rsidRPr="00BE0274" w:rsidRDefault="00F20977" w:rsidP="00176A1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ապրիլ</w:t>
      </w:r>
      <w:r w:rsidR="00E27830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-հունիս ամիսների ընթացքում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իրականացնելով իր գործառույթները </w:t>
      </w:r>
      <w:r w:rsidR="000372C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ստացված </w:t>
      </w:r>
      <w:r w:rsidR="00D97B1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A42543" w:rsidRPr="00A4254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0372CE" w:rsidRPr="00D55F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372C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հարցումներին</w:t>
      </w:r>
      <w:r w:rsidR="00E278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372C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ի պատասխան, պատրաստել և </w:t>
      </w:r>
      <w:r w:rsidR="000372CE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</w:t>
      </w:r>
      <w:r w:rsidR="000372CE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>Հանրապետության Ազգային ժողովի նախագահի</w:t>
      </w:r>
      <w:r w:rsidR="00E54E7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 ու նրա</w:t>
      </w:r>
      <w:r w:rsidR="000372CE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տեղակալներին, բոլոր մշտական հանձնաժողովներին ու  խմբակցություններին, ինչպես նաև պատգամավորների</w:t>
      </w:r>
      <w:r w:rsidR="000372C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 տրամադրել </w:t>
      </w:r>
      <w:r w:rsidR="00D55F2A" w:rsidRPr="00D55F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E2715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40</w:t>
      </w:r>
      <w:r w:rsidR="000372C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տեսակի տեղեկանքներ</w:t>
      </w:r>
      <w:r w:rsidR="00D55F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E171F" w:rsidRPr="00E278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 w:rsidR="004E17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առաջին եռամսյակ </w:t>
      </w:r>
      <w:r w:rsidR="004E171F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35 հարցում</w:t>
      </w:r>
      <w:r w:rsidR="004E171F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17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82</w:t>
      </w:r>
      <w:r w:rsidR="004E171F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տեսակի տեղեկանքներ</w:t>
      </w:r>
      <w:r w:rsidR="000D541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իսկ առաջին կիսամյակում 66 հարցում՝ 222 տեսակի տեղեկանքներ</w:t>
      </w:r>
      <w:r w:rsidR="004E171F" w:rsidRPr="00E278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176A1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Մասնավորապես, Բյուջետային գրասենյակը</w:t>
      </w:r>
      <w:r w:rsidR="00494111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ղեկավարվելով</w:t>
      </w:r>
      <w:r w:rsidR="006D4997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C02C8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աշխատակարգի</w:t>
      </w:r>
      <w:r w:rsidR="0022175A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`</w:t>
      </w:r>
    </w:p>
    <w:p w:rsidR="00F20977" w:rsidRPr="00BE0274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115-րդ կետի 5-րդ ենթակետով և  117-րդ կետի 3-րդ ենթակետով</w:t>
      </w:r>
      <w:r w:rsidR="0022175A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յուրաքանչյուր ամսվա </w:t>
      </w:r>
      <w:r w:rsid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5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-ի դրությամբ,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ոլորտային  տեղեկանքներ 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E54E72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թ. Հայաստանի Հանրապետության պետական բյուջեով նախատեսված ծախսերի կատարման ընթացքի վերաբերյալ (</w:t>
      </w:r>
      <w:r w:rsidR="00E27830">
        <w:rPr>
          <w:rFonts w:ascii="GHEA Grapalat" w:hAnsi="GHEA Grapalat"/>
          <w:color w:val="000000" w:themeColor="text1"/>
          <w:sz w:val="24"/>
          <w:szCs w:val="24"/>
          <w:lang w:val="hy-AM"/>
        </w:rPr>
        <w:t>ապրիլ, մայիս, հունիս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): Պատրաստված </w:t>
      </w:r>
      <w:r w:rsidR="007332B9" w:rsidRPr="007332B9">
        <w:rPr>
          <w:rFonts w:ascii="GHEA Grapalat" w:hAnsi="GHEA Grapalat"/>
          <w:color w:val="000000" w:themeColor="text1"/>
          <w:sz w:val="24"/>
          <w:szCs w:val="24"/>
          <w:lang w:val="hy-AM"/>
        </w:rPr>
        <w:t>60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95BF2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տեսակի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տեղեկանքները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Աժ </w:t>
      </w:r>
      <w:r w:rsidR="009F3D8B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նախագահի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արտաքին հարաբերությունների ոլորտի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սփյուռքի,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կրթության, հանգստի, մշակույթի և կրոնի, 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հետազոտական աշխատանք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խմբերի համար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նախատեսված 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2D39B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ության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¦,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գյուղատնտեսության,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բնագավառներում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2730A" w:rsidRPr="00BE0274" w:rsidRDefault="0092730A" w:rsidP="0092730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մարդու իրավունքների պաշտպանության </w:t>
      </w:r>
      <w:r w:rsidR="00CF286B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և հանրային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տնտեսական հարցերի մշտական հանձնաժողովին՝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հարաբերություններ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="006D4997" w:rsidRPr="002D39B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¦,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վառելիքի և էներգետիկայի ոլորտների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BE0274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աղբյուրներն են հանդիսացել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մասին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օրենքը, Հայաստանի Հանրապետության կառավարության 2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.12.201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թիվ 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515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-Ն որոշումը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կատարումն ապահովող միջոցառումների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մասին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hyperlink w:history="1">
        <w:r w:rsidRPr="00BE0274">
          <w:rPr>
            <w:rStyle w:val="Hyperlink"/>
            <w:rFonts w:ascii="GHEA Grapalat" w:hAnsi="GHEA Grapalat"/>
            <w:color w:val="000000" w:themeColor="text1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BE0274">
          <w:rPr>
            <w:rStyle w:val="Hyperlink"/>
            <w:rFonts w:ascii="GHEA Grapalat" w:hAnsi="GHEA Grapalat" w:cs="Arial"/>
            <w:color w:val="000000" w:themeColor="text1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BE0274">
        <w:rPr>
          <w:rStyle w:val="apple-converted-space"/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կառավարում)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ինտերնետային կայքի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Ինտերակտիվ բյուջե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բաժինը:</w:t>
      </w:r>
    </w:p>
    <w:p w:rsidR="009F3D8B" w:rsidRPr="00BE0274" w:rsidRDefault="009F3D8B" w:rsidP="009F3D8B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Վերոնշյալ տեղեկանքներն ընդգրկում են Հայաստանի Հանրապետության պետական բյուջեների 11 ծախսային ուղղություններից 10-ը, որոնք ներառում են շուրջ 40 ոլորտներ ու   </w:t>
      </w:r>
      <w:r w:rsidR="00B974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100-ից ավելի ենթաոլորտներ՝ կազմելով Հայաստանի Հանրապետության 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թ. պետական բյուջեի ծախսերի շուրջ 90 %-ը:</w:t>
      </w:r>
    </w:p>
    <w:p w:rsidR="00394182" w:rsidRPr="00BE0274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5-րդ ենթակետով և  117-րդ կետի 3-րդ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CB4E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ապրիլ-հունիս ամիսների ընթացքում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F43E6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8</w:t>
      </w:r>
      <w:r w:rsidR="00C212BD" w:rsidRPr="007332B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A95BF2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</w:t>
      </w:r>
      <w:r w:rsidR="00693F9C" w:rsidRPr="002D39B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ի</w:t>
      </w:r>
      <w:r w:rsidR="006D4997" w:rsidRPr="002D39B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(առաջին եռամսյակում </w:t>
      </w:r>
      <w:r w:rsidR="00F43E63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6</w:t>
      </w:r>
      <w:r w:rsid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տեսակի տեղեկանքներ) </w:t>
      </w:r>
      <w:r w:rsidR="00C212BD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2019 թվականի պետական բյուջեով նախատեսված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եկամուտների հավաքագրման ընթացքի վերաբերյալ (</w:t>
      </w:r>
      <w:r w:rsidR="00E27830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փետրվար, մարտ, ապրիլ</w:t>
      </w:r>
      <w:r w:rsid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մայիս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)՝ ներառյալ  201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8</w:t>
      </w:r>
      <w:r w:rsidR="00E27830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թ․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տվյալները: 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 ու նրա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տեղակալներին</w:t>
      </w:r>
      <w:r w:rsidR="00394182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բոլոր  մշտական հանձնաժողովներին ու խմբակցություններին, պատգամավորների: </w:t>
      </w:r>
    </w:p>
    <w:p w:rsidR="00394182" w:rsidRPr="00BE0274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</w:t>
      </w:r>
      <w:r w:rsidR="00822FBF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-201</w:t>
      </w:r>
      <w:r w:rsidR="00C212BD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թթ.  ամս</w:t>
      </w:r>
      <w:r w:rsidR="0055799C" w:rsidRPr="00821D7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կան ամփոփ բնութագրերը և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C212BD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</w:t>
      </w:r>
      <w:r w:rsidR="00BE04BF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27.12.2018 թվականի թիվ 1515-Ն որոշումը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411BA4" w:rsidRPr="00BE0274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</w:t>
      </w:r>
      <w:r w:rsidR="00822FB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</w:t>
      </w:r>
      <w:r w:rsidR="004C0B3D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 (</w:t>
      </w:r>
      <w:r w:rsidR="00822FB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հունվար-փետրվար, հունվար-մարտ</w:t>
      </w:r>
      <w:r w:rsidR="007332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հունվար-ապրիլ</w:t>
      </w:r>
      <w:r w:rsidR="009C4500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Պատրաստված </w:t>
      </w:r>
      <w:r w:rsidR="007332B9" w:rsidRPr="007332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5BF2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տեսակի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տեղեկանքները</w:t>
      </w:r>
      <w:r w:rsidR="00CB4E0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(առաջին եռամսյակում 4 տեսակի տեղեկանքներ)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տրամադրվել են 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3E0CFE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զգային ժողովի նախագահի</w:t>
      </w:r>
      <w:r w:rsidR="00301750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 ու նրա տեղակալներին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ինչպես նաև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պատգամավորների: </w:t>
      </w:r>
    </w:p>
    <w:p w:rsidR="008E1442" w:rsidRPr="00BE0274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Տեղեկատվության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        201</w:t>
      </w:r>
      <w:r w:rsidR="00086EC5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-201</w:t>
      </w:r>
      <w:r w:rsidR="00301750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թթ  ՀՀ սոցիալ-տնտեսական վիճակի վերաբերյալ;</w:t>
      </w:r>
    </w:p>
    <w:p w:rsidR="00C0792E" w:rsidRPr="00BE0274" w:rsidRDefault="00C0792E" w:rsidP="00C07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 </w:t>
      </w:r>
      <w:r w:rsidR="00086EC5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</w:t>
      </w:r>
      <w:r w:rsidR="00BE0274" w:rsidRPr="007332B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0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B4E0F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տեսակի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տեղեկանքներ</w:t>
      </w:r>
      <w:r w:rsidR="00CB4E0F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(առաջին եռամսյակում 30 տեսակի տեղեկանքներ)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B43D83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2019 թվականի պետական պարտքի վերաբերյալ՝ </w:t>
      </w:r>
      <w:r w:rsidR="00822FBF">
        <w:rPr>
          <w:rFonts w:ascii="GHEA Grapalat" w:hAnsi="GHEA Grapalat"/>
          <w:color w:val="000000" w:themeColor="text1"/>
          <w:sz w:val="24"/>
          <w:szCs w:val="24"/>
          <w:lang w:val="hy-AM"/>
        </w:rPr>
        <w:t>մարտ, ապրիլ</w:t>
      </w:r>
      <w:r w:rsidR="00086EC5">
        <w:rPr>
          <w:rFonts w:ascii="GHEA Grapalat" w:hAnsi="GHEA Grapalat"/>
          <w:color w:val="000000" w:themeColor="text1"/>
          <w:sz w:val="24"/>
          <w:szCs w:val="24"/>
          <w:lang w:val="hy-AM"/>
        </w:rPr>
        <w:t>, մայիս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ամիսների վերջի դրությամբ, որոնք 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ն ու նրա տեղակալներին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պատգամավորների:</w:t>
      </w:r>
    </w:p>
    <w:p w:rsidR="00C0792E" w:rsidRPr="00BE0274" w:rsidRDefault="00C0792E" w:rsidP="00C0792E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55799C" w:rsidRPr="00821D7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կան տեղեկագրերը;</w:t>
      </w:r>
    </w:p>
    <w:p w:rsidR="00766313" w:rsidRPr="007332B9" w:rsidRDefault="00BB0FF9" w:rsidP="007663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115-րդ կետի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-րդ ենթակետով և  117-րդ կետի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օգտագործելով </w:t>
      </w:r>
      <w:r w:rsidR="00693F9C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«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ԳԳՕ</w:t>
      </w:r>
      <w:r w:rsidR="00693F9C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»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համակարգի (LS Finance) հնարավորությունները, յուրաքանչյուր ամսվա 10-րդ, 20-րդ և  վերջին օրերի դրությամբ, Ազգային ժողովի տնտեսական հարցերի</w:t>
      </w:r>
      <w:r w:rsidR="00086EC5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 ֆինանսավարկային և բյուջետային հարցերի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086EC5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մշտական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հանձնաժողով</w:t>
      </w:r>
      <w:r w:rsidR="00086EC5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ներին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և շահագրգիռ պատգամավորներին </w:t>
      </w:r>
      <w:r w:rsidR="00E25D06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են տրամադրվել </w:t>
      </w:r>
      <w:r w:rsidR="007332B9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9</w:t>
      </w:r>
      <w:r w:rsidR="00CB4E0F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տեսակի տեղեկանքներ </w:t>
      </w:r>
      <w:r w:rsidR="00E25D06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 xml:space="preserve">տեղեկանքներ </w:t>
      </w:r>
      <w:r w:rsidR="00E25D06" w:rsidRP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(</w:t>
      </w:r>
      <w:r w:rsidR="00086EC5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 xml:space="preserve">առաջին եռամսյակում </w:t>
      </w:r>
      <w:r w:rsidR="00E25D06" w:rsidRP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3 տեսակ)</w:t>
      </w:r>
      <w:r w:rsidR="00693F9C" w:rsidRP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70466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2019 թվականի պետական բյուջեի կատարման ընթացքի վերաբերյալ (հաշվետվության ձև 6210</w:t>
      </w:r>
      <w:r w:rsidR="0055799C" w:rsidRP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)</w:t>
      </w:r>
      <w:r w:rsidR="007332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7332B9" w:rsidRPr="00BE0274" w:rsidRDefault="007332B9" w:rsidP="007663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Պատրաստվել </w:t>
      </w:r>
      <w:r w:rsidR="00086EC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 ՀՀ-ում հավաքագրված գույ</w:t>
      </w:r>
      <w:r w:rsidR="0055799C" w:rsidRPr="00821D7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ք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ահարկի վերաբերյալ,</w:t>
      </w:r>
    </w:p>
    <w:p w:rsidR="00822FBF" w:rsidRPr="00822FBF" w:rsidRDefault="00822FBF" w:rsidP="007663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Պատրաստվել և բոլոր պատգամավերներին </w:t>
      </w:r>
      <w:r w:rsid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են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համեմատական վերլուծություններ</w:t>
      </w:r>
      <w:r w:rsid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ով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տեղեկանք</w:t>
      </w:r>
      <w:r w:rsid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ներ</w:t>
      </w:r>
      <w:r w:rsidR="00086EC5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այդ թվում ինֆոգրաֆիկ</w:t>
      </w:r>
      <w:r w:rsid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7332B9" w:rsidRP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(5 </w:t>
      </w:r>
      <w:r w:rsid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տեսակ</w:t>
      </w:r>
      <w:r w:rsidR="007332B9" w:rsidRP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ՀՀ 2018 թվականի պետական բյուջեի կատարման վերաբերյալ տարեկան հաշվետվության հիմնական ցուցանիշների վերաբերյալ, ներառյալ 2015-2017թթ</w:t>
      </w:r>
      <w:r w:rsidR="00086EC5">
        <w:rPr>
          <w:rFonts w:ascii="Cambria Math" w:eastAsia="Times New Roman" w:hAnsi="Cambria Math" w:cs="Arial Unicode"/>
          <w:color w:val="000000" w:themeColor="text1"/>
          <w:sz w:val="24"/>
          <w:szCs w:val="24"/>
          <w:lang w:val="hy-AM" w:eastAsia="ru-RU"/>
        </w:rPr>
        <w:t>․,</w:t>
      </w:r>
    </w:p>
    <w:p w:rsidR="00A42543" w:rsidRPr="00A42543" w:rsidRDefault="00766313" w:rsidP="007663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822FBF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Պատրաստվել են </w:t>
      </w:r>
      <w:r w:rsidR="00320AF6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տեղեկանքներ ՀՀ 2016-2018թթ․ պետական բյուջեներով </w:t>
      </w:r>
      <w:r w:rsidR="0012595D" w:rsidRPr="007332B9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19</w:t>
      </w:r>
      <w:r w:rsidR="00872B9A" w:rsidRPr="0012595D">
        <w:rPr>
          <w:rFonts w:ascii="GHEA Grapalat" w:hAnsi="GHEA Grapalat" w:cs="Arial Unicode"/>
          <w:color w:val="FF0000"/>
          <w:sz w:val="24"/>
          <w:szCs w:val="24"/>
          <w:lang w:val="hy-AM"/>
        </w:rPr>
        <w:t xml:space="preserve"> </w:t>
      </w:r>
      <w:r w:rsidR="00320AF6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գերատեսչությունների համար սահմանված</w:t>
      </w:r>
      <w:r w:rsidR="00872B9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ոչ ֆինանսական ցուցանիշների վերաբերյալ, </w:t>
      </w:r>
      <w:r w:rsidR="00872B9A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lastRenderedPageBreak/>
        <w:t xml:space="preserve">որոնք տրամադրվել են </w:t>
      </w:r>
      <w:r w:rsidR="00A5203B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Ազգային ժողովի ոլորտային մշտական հանձնաժողովներին, ըստ իրենց գործունեության ոլորտների և շահագրգիռ պատգամավորների</w:t>
      </w:r>
      <w:r w:rsidR="00A42543" w:rsidRPr="00A4254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</w:t>
      </w:r>
    </w:p>
    <w:p w:rsidR="00D02EC2" w:rsidRPr="003A06B1" w:rsidRDefault="00A42543" w:rsidP="00E94D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3A06B1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Պատրաստվել է տեղեկանք </w:t>
      </w:r>
      <w:r w:rsidR="003A06B1" w:rsidRPr="003A06B1">
        <w:rPr>
          <w:rFonts w:ascii="GHEA Grapalat" w:hAnsi="GHEA Grapalat" w:cs="Sylfaen"/>
          <w:sz w:val="24"/>
          <w:szCs w:val="24"/>
          <w:lang w:val="hy-AM"/>
        </w:rPr>
        <w:t xml:space="preserve">ՀՆԱ-ում չդիտարկվող տնտեսության մասնաբաժնի վերաբերյալ՝ ըստ ոլորտների </w:t>
      </w:r>
      <w:r w:rsidR="003A06B1" w:rsidRPr="003A06B1">
        <w:rPr>
          <w:rFonts w:ascii="GHEA Grapalat" w:hAnsi="GHEA Grapalat" w:cs="Sylfaen"/>
          <w:sz w:val="24"/>
          <w:szCs w:val="24"/>
          <w:lang w:val="es-ES"/>
        </w:rPr>
        <w:t>(</w:t>
      </w:r>
      <w:r w:rsidR="003A06B1" w:rsidRPr="003A06B1">
        <w:rPr>
          <w:rFonts w:ascii="GHEA Grapalat" w:hAnsi="GHEA Grapalat" w:cs="Sylfaen"/>
          <w:sz w:val="24"/>
          <w:szCs w:val="24"/>
          <w:lang w:val="hy-AM"/>
        </w:rPr>
        <w:t>201</w:t>
      </w:r>
      <w:r w:rsidR="003A06B1" w:rsidRPr="003A06B1">
        <w:rPr>
          <w:rFonts w:ascii="GHEA Grapalat" w:hAnsi="GHEA Grapalat" w:cs="Sylfaen"/>
          <w:sz w:val="24"/>
          <w:szCs w:val="24"/>
          <w:lang w:val="es-ES"/>
        </w:rPr>
        <w:t>2</w:t>
      </w:r>
      <w:r w:rsidR="003A06B1" w:rsidRPr="003A06B1">
        <w:rPr>
          <w:rFonts w:ascii="GHEA Grapalat" w:hAnsi="GHEA Grapalat" w:cs="Sylfaen"/>
          <w:sz w:val="24"/>
          <w:szCs w:val="24"/>
          <w:lang w:val="hy-AM"/>
        </w:rPr>
        <w:t>-2017թթ</w:t>
      </w:r>
      <w:r w:rsidR="003A06B1" w:rsidRPr="003A06B1">
        <w:rPr>
          <w:rFonts w:ascii="GHEA Grapalat" w:hAnsi="GHEA Grapalat" w:cs="Sylfaen"/>
          <w:sz w:val="24"/>
          <w:szCs w:val="24"/>
          <w:lang w:val="es-ES"/>
        </w:rPr>
        <w:t>):</w:t>
      </w:r>
    </w:p>
    <w:p w:rsidR="003A06B1" w:rsidRPr="003A06B1" w:rsidRDefault="003A06B1" w:rsidP="003A06B1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u w:val="single"/>
          <w:lang w:val="hy-AM" w:eastAsia="ru-RU"/>
        </w:rPr>
      </w:pPr>
    </w:p>
    <w:p w:rsidR="00746BBE" w:rsidRDefault="00746BBE" w:rsidP="00746BBE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Ազգային ժողովի կարողությունների զարգացում</w:t>
      </w:r>
    </w:p>
    <w:p w:rsidR="00F86EE2" w:rsidRPr="00F86EE2" w:rsidRDefault="00F86EE2" w:rsidP="00746BBE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6"/>
          <w:szCs w:val="6"/>
          <w:u w:val="single"/>
          <w:lang w:val="hy-AM" w:eastAsia="ru-RU"/>
        </w:rPr>
      </w:pPr>
    </w:p>
    <w:p w:rsidR="00CB4E0F" w:rsidRDefault="00E2715F" w:rsidP="00CB4E0F">
      <w:pPr>
        <w:pStyle w:val="ListParagraph"/>
        <w:spacing w:after="0" w:line="36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</w:t>
      </w:r>
      <w:r w:rsidR="004425F7"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յուջետային գրասենյակը</w:t>
      </w:r>
      <w:r w:rsid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՝</w:t>
      </w:r>
    </w:p>
    <w:p w:rsidR="006F49D3" w:rsidRPr="00BC3132" w:rsidRDefault="004425F7" w:rsidP="004425F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Ազգային ժողովի &lt;&lt;Լուսավոր Հայաստան&gt;&gt; խմբակցության հարցման հիման վրա Բյուջետային գրասենյակի Ազգային ժողովի կարողությունների շարունակական զարգացում գործառույթի իրացման շրջանակներում, խմբակցության պատգամավորների, նրանց օգնականների և խմբակցության փորձագետների համար</w:t>
      </w:r>
      <w:r w:rsidR="00BC3132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BC3132" w:rsidRPr="00BC3132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(</w:t>
      </w:r>
      <w:r w:rsidR="00BC3132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մասնակցել են 31 հոգի</w:t>
      </w:r>
      <w:r w:rsidR="00BC3132" w:rsidRPr="00BC3132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սույն թվականի մայիսի 16-ին Ազգային ժողովում</w:t>
      </w:r>
      <w:r w:rsidRPr="004425F7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4425F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կազմակերպել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4425F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4425F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սեմինար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(</w:t>
      </w:r>
      <w:r w:rsidRPr="004425F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աշխատաժողով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 &lt;&lt;</w:t>
      </w:r>
      <w:r w:rsidRPr="004425F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Հայաստանի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4425F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Հանրապետության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4425F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պետական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բյուջեն և Հայաստանի Հանրապետությունում կիրառվող ծրագրային բյուջետավորման մեթոդաբանությունը&gt;&gt; թեմայով: Բյուջետային գրասենյակի համակարգող փորձագետ Գագիկ Բարսեղյանը ներկայացրե</w:t>
      </w:r>
      <w:r w:rsidR="00BC3132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լ է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E37D4D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զեկուցում </w:t>
      </w:r>
      <w:r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պետական բյուջեն և դրա կառուցվածքը, ծրագրային բյուջետավորման էությունը, Հայաստանի Հանրապետությունում դրա ներդրման գործընթացն ու ներդրված մեթոդաբանության առանձնահատկությունները, բյուջետային ծրագրերի վերլուծության գործիքները և տեղեկատվություն Հայաստանի Հանրապետության 2018 թվականի պետական բյուջեի կատարման վերաբերյալ հաշվետվության հիմնական ամփոփ ցուցանիշների վերաբերյալ։ </w:t>
      </w:r>
      <w:r w:rsidRPr="004425F7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</w:p>
    <w:p w:rsidR="00CB4E0F" w:rsidRPr="00CB4E0F" w:rsidRDefault="002E6E5A" w:rsidP="00CB4E0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պատգամավոր պարոն Հ․ Դա</w:t>
      </w:r>
      <w:r w:rsidR="00D02EC2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իելյանի հարցման, ինչպես նաև, Բյուջետային գրասենյակի</w:t>
      </w:r>
      <w:r w:rsidR="00CB4E0F" w:rsidRP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Ազգային ժողովի կարողությունների շարունակական զարգացում գործառույթի իրացման շրջանակներում, Ազգային ժողովի &lt;&lt;Իմ քայլը&gt;&gt; խմբակցության պատգամավորների օգնականների և խմբակցության փորձագետների համար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Pr="002E6E5A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մասնակցել են 35 պատգամավորի օգնականներ և փորձագետներ</w:t>
      </w:r>
      <w:r w:rsidRPr="002E6E5A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</w:t>
      </w:r>
      <w:r w:rsidR="00CB4E0F" w:rsidRP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, սույն </w:t>
      </w:r>
      <w:r w:rsidR="00CB4E0F" w:rsidRP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>թվականի հունիսի 3-ին Ազգային ժողովում  կազմակերպել է սեմինար (աշխատաժողով) &lt;&lt;Հայաստանի Հանրապետության պետական բյուջեն և Հայաստանի Հանրապետությունում կիրառվող ծրագրային բյուջետավորման մեթոդաբանությունը&gt;&gt; թեմայով: Բյուջետային գրասենյակի համակարգող փորձագետ Գագիկ Բարսեղյանը ներկայացրե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լ է</w:t>
      </w:r>
      <w:r w:rsidR="00CB4E0F" w:rsidRP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E37D4D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զեկուցում </w:t>
      </w:r>
      <w:r w:rsidR="00CB4E0F" w:rsidRP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պետական բյուջեն և դրա կառուցվածքը, ծրագրային բյուջետավորման էությունը, Հայաստանի Հանրապետությունում դրա ներդրման գործընթացն ու ներդրված մեթոդաբանության առանձնահատկություններն ու բյուջետային ծրագրերի վերլուծության գործիքները</w:t>
      </w:r>
      <w:r w:rsidR="00E37D4D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թեմաներով</w:t>
      </w:r>
      <w:r w:rsidR="00CB4E0F" w:rsidRP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իսկ Բյուջետային գրասենյակի փորձագետ Աշոտ Եղիազարյանը ներկայացրե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լ է</w:t>
      </w:r>
      <w:r w:rsidR="00CB4E0F" w:rsidRP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տեղեկատվություն Հայաստանի Հանրապետության 2018 թվականի պետական բյուջեի կատարման վերաբերյալ հաշվետվության հիմնական ամփոփ ցուցանիշների վերաբերյալ։  </w:t>
      </w:r>
    </w:p>
    <w:p w:rsidR="00BC3132" w:rsidRDefault="00072223" w:rsidP="002E6E5A">
      <w:pPr>
        <w:spacing w:after="0" w:line="360" w:lineRule="auto"/>
        <w:ind w:left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      </w:t>
      </w:r>
      <w:r w:rsidR="002E6E5A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2019 թվականի հունվար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-</w:t>
      </w:r>
      <w:r w:rsidR="002E6E5A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մարտ ամիսներին </w:t>
      </w:r>
      <w:r w:rsidR="00BA34F5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յուեջատային գրասենյակի կողմից Ազգային ժողովի կարողությունների </w:t>
      </w:r>
      <w:r w:rsidR="00A86DD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շարունակական զարգացման գործառույթի իրացման համատեքստում կազմակերպված 2 սեմինարներին մասնակցել են 35 պատգամավոր և 3 պատգամավորի օգնական ու փորձագետ։</w:t>
      </w:r>
      <w:r w:rsidR="00BA34F5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</w:p>
    <w:p w:rsidR="00BA34F5" w:rsidRPr="002E6E5A" w:rsidRDefault="00BA34F5" w:rsidP="00BA34F5">
      <w:pPr>
        <w:spacing w:after="0" w:line="360" w:lineRule="auto"/>
        <w:ind w:left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ab/>
        <w:t>2019 թվականի առաջին կիսամյակի ընթացում Բյուեջատային գրասենյակի կողմից Ազգային ժողովի կարողությունների շարունակական զարգացման գործառույթի իրացման համատեքստում կազմակերպված 4 սեմինարներին մասնակցել են 104 պատգամավորներ, պատգամավորի օգնականներ և փորձագետներ։</w:t>
      </w:r>
    </w:p>
    <w:p w:rsidR="00787365" w:rsidRPr="00787365" w:rsidRDefault="00787365" w:rsidP="004425F7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10"/>
          <w:szCs w:val="10"/>
          <w:u w:val="single"/>
          <w:lang w:val="hy-AM" w:eastAsia="ru-RU"/>
        </w:rPr>
      </w:pPr>
    </w:p>
    <w:p w:rsidR="008C4CCA" w:rsidRPr="00BE0274" w:rsidRDefault="00751B31" w:rsidP="004425F7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Ներգրավվածություն</w:t>
      </w:r>
      <w:r w:rsidR="00B64F95"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</w:t>
      </w: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BE0274" w:rsidRDefault="00751B31" w:rsidP="000D240F">
      <w:pPr>
        <w:spacing w:after="0" w:line="360" w:lineRule="auto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EB2739" w:rsidRPr="00BE0274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Բյուջետային գրասենյակի աշխատակազմը </w:t>
      </w:r>
      <w:r w:rsidR="00755E9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ակտիվորեն </w:t>
      </w:r>
      <w:r w:rsidR="00E626BA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ներգրավված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</w:t>
      </w:r>
      <w:r w:rsidR="00EB2739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787365" w:rsidRPr="00BE0274" w:rsidRDefault="00787365" w:rsidP="0078736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Հանրապետությունում պետական ֆինանսենրի քաղաքականության բարեփոխումների ծրագիր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ԵՄ բյուջետային ծրագրով Ազգային ժողովի մասով ամրագրված թիրախների իրգործման և մոնիթորինգի գործընթացում: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Այս շրջանակում Բյուջետային գրասենյակը Հայաստանի Հանրապետության ֆինանս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երի, ինչպես նաև  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Հայաստանի Հանրապետության տնտեսական զարգացման և ներդրումների նախարարություններին տեղեկատվություն է տրամադրել 2018-2019թթ համար սահմանված թիրախների իրագործման և հնարավոր ռիսկերի վերաբերյալ։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Բյուջետային գրասենյակի համակարգող փորձագետ Գագիկ Բարսեղյանը սույն թվականի մայիսի </w:t>
      </w:r>
      <w:r w:rsidR="00D02E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23-ին մասնակցել է «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Հանրապետությունում պետական ֆինանսենրի քաղաքականության բարեփոխումների ծրագիր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ԵՄ բյուջետային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աջակցության ֆինանսայան համաձայնագրի</w:t>
      </w:r>
      <w:r w:rsidR="00DD7DD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ղեկավար կոմիտեի նիստին;</w:t>
      </w:r>
    </w:p>
    <w:p w:rsidR="00EB2739" w:rsidRPr="00BE0274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Պետական Ֆինանսների Կառավարման Համակարգի Բարեփոխումների </w:t>
      </w:r>
      <w:r w:rsidR="006F49D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իրականացման և մոնիթորինգի գործընթացում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76631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որի շրջանակում </w:t>
      </w:r>
      <w:r w:rsidR="00F667D6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76631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տեղեկատվություն է տրամադրել Հայաստանի Հանրապետության ֆինանսերի նախարարության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201</w:t>
      </w:r>
      <w:r w:rsidR="00BC313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թվականի </w:t>
      </w:r>
      <w:r w:rsidR="00BC313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առաջին եռամսյակի 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ընթացքում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վերոնշյալ ծրագրով ամրագրված ուղղություններով </w:t>
      </w:r>
      <w:r w:rsidR="002C038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իրականացված միջոցառումների վերաբերյալ</w:t>
      </w:r>
      <w:r w:rsidR="00DD7DD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ED5636" w:rsidRPr="00BE0274" w:rsidRDefault="00ED5636" w:rsidP="00DD7DDF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sectPr w:rsidR="00ED5636" w:rsidRPr="00BE0274" w:rsidSect="00821D7D">
      <w:footerReference w:type="default" r:id="rId9"/>
      <w:pgSz w:w="12240" w:h="15840"/>
      <w:pgMar w:top="1134" w:right="72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BB" w:rsidRDefault="00B527BB" w:rsidP="00245DE9">
      <w:pPr>
        <w:spacing w:after="0" w:line="240" w:lineRule="auto"/>
      </w:pPr>
      <w:r>
        <w:separator/>
      </w:r>
    </w:p>
  </w:endnote>
  <w:endnote w:type="continuationSeparator" w:id="0">
    <w:p w:rsidR="00B527BB" w:rsidRDefault="00B527BB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480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F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BB" w:rsidRDefault="00B527BB" w:rsidP="00245DE9">
      <w:pPr>
        <w:spacing w:after="0" w:line="240" w:lineRule="auto"/>
      </w:pPr>
      <w:r>
        <w:separator/>
      </w:r>
    </w:p>
  </w:footnote>
  <w:footnote w:type="continuationSeparator" w:id="0">
    <w:p w:rsidR="00B527BB" w:rsidRDefault="00B527BB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A238A0"/>
    <w:multiLevelType w:val="hybridMultilevel"/>
    <w:tmpl w:val="8F4E42FE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9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9"/>
  </w:num>
  <w:num w:numId="6">
    <w:abstractNumId w:val="13"/>
  </w:num>
  <w:num w:numId="7">
    <w:abstractNumId w:val="17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6"/>
  </w:num>
  <w:num w:numId="17">
    <w:abstractNumId w:val="6"/>
  </w:num>
  <w:num w:numId="18">
    <w:abstractNumId w:val="20"/>
  </w:num>
  <w:num w:numId="19">
    <w:abstractNumId w:val="3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24993"/>
    <w:rsid w:val="00027527"/>
    <w:rsid w:val="00034A51"/>
    <w:rsid w:val="000372CE"/>
    <w:rsid w:val="00043164"/>
    <w:rsid w:val="000531A9"/>
    <w:rsid w:val="0006395D"/>
    <w:rsid w:val="00072223"/>
    <w:rsid w:val="00074F84"/>
    <w:rsid w:val="00076303"/>
    <w:rsid w:val="000819F4"/>
    <w:rsid w:val="00086EC5"/>
    <w:rsid w:val="00091F86"/>
    <w:rsid w:val="00094966"/>
    <w:rsid w:val="00097694"/>
    <w:rsid w:val="000A100E"/>
    <w:rsid w:val="000A3331"/>
    <w:rsid w:val="000B15CC"/>
    <w:rsid w:val="000C0B73"/>
    <w:rsid w:val="000C31F9"/>
    <w:rsid w:val="000C7281"/>
    <w:rsid w:val="000D240F"/>
    <w:rsid w:val="000D5414"/>
    <w:rsid w:val="000E4951"/>
    <w:rsid w:val="000E71A9"/>
    <w:rsid w:val="000F547F"/>
    <w:rsid w:val="000F5A64"/>
    <w:rsid w:val="001128C1"/>
    <w:rsid w:val="00114966"/>
    <w:rsid w:val="00117055"/>
    <w:rsid w:val="0012228E"/>
    <w:rsid w:val="00123D58"/>
    <w:rsid w:val="0012595D"/>
    <w:rsid w:val="0013457B"/>
    <w:rsid w:val="00144132"/>
    <w:rsid w:val="00153D25"/>
    <w:rsid w:val="00154E13"/>
    <w:rsid w:val="00162023"/>
    <w:rsid w:val="0016382B"/>
    <w:rsid w:val="00165D65"/>
    <w:rsid w:val="0017015D"/>
    <w:rsid w:val="001707AC"/>
    <w:rsid w:val="00175C64"/>
    <w:rsid w:val="00176A13"/>
    <w:rsid w:val="001776A8"/>
    <w:rsid w:val="0019243F"/>
    <w:rsid w:val="00193F23"/>
    <w:rsid w:val="001A3B39"/>
    <w:rsid w:val="001A47B0"/>
    <w:rsid w:val="001C49F6"/>
    <w:rsid w:val="001E3161"/>
    <w:rsid w:val="001E4B71"/>
    <w:rsid w:val="001F0A9B"/>
    <w:rsid w:val="001F2AB8"/>
    <w:rsid w:val="001F3D18"/>
    <w:rsid w:val="0020081D"/>
    <w:rsid w:val="00211A2C"/>
    <w:rsid w:val="0022175A"/>
    <w:rsid w:val="00223A50"/>
    <w:rsid w:val="00245DE9"/>
    <w:rsid w:val="00255DAF"/>
    <w:rsid w:val="00261076"/>
    <w:rsid w:val="0026264C"/>
    <w:rsid w:val="00263342"/>
    <w:rsid w:val="00280E8F"/>
    <w:rsid w:val="0028612F"/>
    <w:rsid w:val="00296B53"/>
    <w:rsid w:val="002A4001"/>
    <w:rsid w:val="002B4D52"/>
    <w:rsid w:val="002B696D"/>
    <w:rsid w:val="002C0383"/>
    <w:rsid w:val="002D39B8"/>
    <w:rsid w:val="002E5A94"/>
    <w:rsid w:val="002E6E5A"/>
    <w:rsid w:val="00301354"/>
    <w:rsid w:val="00301750"/>
    <w:rsid w:val="00315A09"/>
    <w:rsid w:val="00320AF6"/>
    <w:rsid w:val="00321E08"/>
    <w:rsid w:val="00322ED1"/>
    <w:rsid w:val="00333FF6"/>
    <w:rsid w:val="00370836"/>
    <w:rsid w:val="00377C6E"/>
    <w:rsid w:val="0038662B"/>
    <w:rsid w:val="0039006F"/>
    <w:rsid w:val="00391648"/>
    <w:rsid w:val="00394182"/>
    <w:rsid w:val="003A06B1"/>
    <w:rsid w:val="003A231E"/>
    <w:rsid w:val="003B2605"/>
    <w:rsid w:val="003B3A63"/>
    <w:rsid w:val="003E0CFE"/>
    <w:rsid w:val="003F667F"/>
    <w:rsid w:val="0040651B"/>
    <w:rsid w:val="00411BA4"/>
    <w:rsid w:val="004175B5"/>
    <w:rsid w:val="004178C6"/>
    <w:rsid w:val="00432C61"/>
    <w:rsid w:val="004425F7"/>
    <w:rsid w:val="00447149"/>
    <w:rsid w:val="00455526"/>
    <w:rsid w:val="00464F7B"/>
    <w:rsid w:val="00474305"/>
    <w:rsid w:val="00476EB2"/>
    <w:rsid w:val="00483682"/>
    <w:rsid w:val="00494111"/>
    <w:rsid w:val="004A2284"/>
    <w:rsid w:val="004A344F"/>
    <w:rsid w:val="004A53AB"/>
    <w:rsid w:val="004B0D33"/>
    <w:rsid w:val="004B0DF6"/>
    <w:rsid w:val="004C0B3D"/>
    <w:rsid w:val="004C19F8"/>
    <w:rsid w:val="004D12BF"/>
    <w:rsid w:val="004D7B82"/>
    <w:rsid w:val="004E171F"/>
    <w:rsid w:val="00502767"/>
    <w:rsid w:val="0050629B"/>
    <w:rsid w:val="00527D46"/>
    <w:rsid w:val="0055487D"/>
    <w:rsid w:val="0055799C"/>
    <w:rsid w:val="005727B2"/>
    <w:rsid w:val="00574092"/>
    <w:rsid w:val="005856CF"/>
    <w:rsid w:val="00585A2B"/>
    <w:rsid w:val="005D5CD8"/>
    <w:rsid w:val="005D6474"/>
    <w:rsid w:val="005E15C9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33501"/>
    <w:rsid w:val="0064092D"/>
    <w:rsid w:val="00647142"/>
    <w:rsid w:val="00653E2D"/>
    <w:rsid w:val="006802EB"/>
    <w:rsid w:val="00693DCD"/>
    <w:rsid w:val="00693F9C"/>
    <w:rsid w:val="006A0757"/>
    <w:rsid w:val="006A19CA"/>
    <w:rsid w:val="006A3FCA"/>
    <w:rsid w:val="006A70CA"/>
    <w:rsid w:val="006B0414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4667"/>
    <w:rsid w:val="00714C68"/>
    <w:rsid w:val="007179F3"/>
    <w:rsid w:val="00722B4C"/>
    <w:rsid w:val="007332B9"/>
    <w:rsid w:val="00740813"/>
    <w:rsid w:val="00742FF7"/>
    <w:rsid w:val="00746BBE"/>
    <w:rsid w:val="00751B31"/>
    <w:rsid w:val="00754878"/>
    <w:rsid w:val="00755E94"/>
    <w:rsid w:val="00764203"/>
    <w:rsid w:val="007661E5"/>
    <w:rsid w:val="00766313"/>
    <w:rsid w:val="00774622"/>
    <w:rsid w:val="007752B0"/>
    <w:rsid w:val="007869E2"/>
    <w:rsid w:val="00787365"/>
    <w:rsid w:val="007A125D"/>
    <w:rsid w:val="007A5280"/>
    <w:rsid w:val="007A6AF5"/>
    <w:rsid w:val="007B0CBB"/>
    <w:rsid w:val="007B4B9A"/>
    <w:rsid w:val="007C3133"/>
    <w:rsid w:val="007C39DB"/>
    <w:rsid w:val="007E7EAB"/>
    <w:rsid w:val="00807430"/>
    <w:rsid w:val="00813C31"/>
    <w:rsid w:val="008217A4"/>
    <w:rsid w:val="00821D7D"/>
    <w:rsid w:val="00822FBF"/>
    <w:rsid w:val="0082762B"/>
    <w:rsid w:val="00830BEC"/>
    <w:rsid w:val="00834E5A"/>
    <w:rsid w:val="008453AC"/>
    <w:rsid w:val="00846B81"/>
    <w:rsid w:val="00872B9A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E1442"/>
    <w:rsid w:val="008E7909"/>
    <w:rsid w:val="008F6CD1"/>
    <w:rsid w:val="00920CB8"/>
    <w:rsid w:val="0092730A"/>
    <w:rsid w:val="00933D0D"/>
    <w:rsid w:val="0093404C"/>
    <w:rsid w:val="00935D9C"/>
    <w:rsid w:val="0093778B"/>
    <w:rsid w:val="0095261C"/>
    <w:rsid w:val="00975BEF"/>
    <w:rsid w:val="00984333"/>
    <w:rsid w:val="009A226A"/>
    <w:rsid w:val="009A72FC"/>
    <w:rsid w:val="009B0DF7"/>
    <w:rsid w:val="009C4500"/>
    <w:rsid w:val="009F2249"/>
    <w:rsid w:val="009F2B49"/>
    <w:rsid w:val="009F3BFB"/>
    <w:rsid w:val="009F3D8B"/>
    <w:rsid w:val="009F78D9"/>
    <w:rsid w:val="00A075D7"/>
    <w:rsid w:val="00A14A75"/>
    <w:rsid w:val="00A16641"/>
    <w:rsid w:val="00A215AE"/>
    <w:rsid w:val="00A302B9"/>
    <w:rsid w:val="00A42543"/>
    <w:rsid w:val="00A42A71"/>
    <w:rsid w:val="00A5203B"/>
    <w:rsid w:val="00A720E4"/>
    <w:rsid w:val="00A85824"/>
    <w:rsid w:val="00A86DD9"/>
    <w:rsid w:val="00A91911"/>
    <w:rsid w:val="00A95BF2"/>
    <w:rsid w:val="00AA25D7"/>
    <w:rsid w:val="00AB5337"/>
    <w:rsid w:val="00AD0F43"/>
    <w:rsid w:val="00AF43E7"/>
    <w:rsid w:val="00B00136"/>
    <w:rsid w:val="00B04931"/>
    <w:rsid w:val="00B22D55"/>
    <w:rsid w:val="00B27D3C"/>
    <w:rsid w:val="00B432FA"/>
    <w:rsid w:val="00B43D83"/>
    <w:rsid w:val="00B527BB"/>
    <w:rsid w:val="00B53266"/>
    <w:rsid w:val="00B60404"/>
    <w:rsid w:val="00B64F95"/>
    <w:rsid w:val="00B67001"/>
    <w:rsid w:val="00B728BC"/>
    <w:rsid w:val="00B974A1"/>
    <w:rsid w:val="00BA34F5"/>
    <w:rsid w:val="00BA70F2"/>
    <w:rsid w:val="00BA7D23"/>
    <w:rsid w:val="00BB0FF9"/>
    <w:rsid w:val="00BC20DA"/>
    <w:rsid w:val="00BC3132"/>
    <w:rsid w:val="00BE0274"/>
    <w:rsid w:val="00BE04BF"/>
    <w:rsid w:val="00BE6738"/>
    <w:rsid w:val="00BF7814"/>
    <w:rsid w:val="00C07338"/>
    <w:rsid w:val="00C0792E"/>
    <w:rsid w:val="00C102E6"/>
    <w:rsid w:val="00C13A4F"/>
    <w:rsid w:val="00C212BD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7497"/>
    <w:rsid w:val="00C9198B"/>
    <w:rsid w:val="00CA6B8A"/>
    <w:rsid w:val="00CB00D9"/>
    <w:rsid w:val="00CB1A1B"/>
    <w:rsid w:val="00CB4E0F"/>
    <w:rsid w:val="00CC7F07"/>
    <w:rsid w:val="00CD25A3"/>
    <w:rsid w:val="00CD3ADA"/>
    <w:rsid w:val="00CE4AAC"/>
    <w:rsid w:val="00CF1D38"/>
    <w:rsid w:val="00CF286B"/>
    <w:rsid w:val="00CF4332"/>
    <w:rsid w:val="00D02111"/>
    <w:rsid w:val="00D02EC2"/>
    <w:rsid w:val="00D05B94"/>
    <w:rsid w:val="00D0665C"/>
    <w:rsid w:val="00D3345B"/>
    <w:rsid w:val="00D3527E"/>
    <w:rsid w:val="00D40858"/>
    <w:rsid w:val="00D443BC"/>
    <w:rsid w:val="00D469AD"/>
    <w:rsid w:val="00D46ED5"/>
    <w:rsid w:val="00D55F2A"/>
    <w:rsid w:val="00D726B2"/>
    <w:rsid w:val="00D7436D"/>
    <w:rsid w:val="00D7473C"/>
    <w:rsid w:val="00D76A11"/>
    <w:rsid w:val="00D76BC5"/>
    <w:rsid w:val="00D867BD"/>
    <w:rsid w:val="00D97B16"/>
    <w:rsid w:val="00DC7F45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7D4D"/>
    <w:rsid w:val="00E42624"/>
    <w:rsid w:val="00E546A5"/>
    <w:rsid w:val="00E54E72"/>
    <w:rsid w:val="00E55626"/>
    <w:rsid w:val="00E60C3E"/>
    <w:rsid w:val="00E626BA"/>
    <w:rsid w:val="00E81C24"/>
    <w:rsid w:val="00E840F3"/>
    <w:rsid w:val="00E87B24"/>
    <w:rsid w:val="00EB2739"/>
    <w:rsid w:val="00ED5636"/>
    <w:rsid w:val="00ED74AC"/>
    <w:rsid w:val="00EE6053"/>
    <w:rsid w:val="00EE697C"/>
    <w:rsid w:val="00EF3CB2"/>
    <w:rsid w:val="00EF5CFC"/>
    <w:rsid w:val="00F20977"/>
    <w:rsid w:val="00F260B3"/>
    <w:rsid w:val="00F27A0B"/>
    <w:rsid w:val="00F43E63"/>
    <w:rsid w:val="00F547C3"/>
    <w:rsid w:val="00F667D6"/>
    <w:rsid w:val="00F672B4"/>
    <w:rsid w:val="00F84376"/>
    <w:rsid w:val="00F84C53"/>
    <w:rsid w:val="00F86EE2"/>
    <w:rsid w:val="00F9019C"/>
    <w:rsid w:val="00F94FE3"/>
    <w:rsid w:val="00F961E0"/>
    <w:rsid w:val="00FA71A2"/>
    <w:rsid w:val="00FB122B"/>
    <w:rsid w:val="00FC02C8"/>
    <w:rsid w:val="00FC77A9"/>
    <w:rsid w:val="00FD0761"/>
    <w:rsid w:val="00FD3210"/>
    <w:rsid w:val="00FD5C6E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F6F1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8013-0BD9-4D0A-B768-F8BA3A42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12</cp:revision>
  <cp:lastPrinted>2017-06-26T10:43:00Z</cp:lastPrinted>
  <dcterms:created xsi:type="dcterms:W3CDTF">2019-07-08T07:49:00Z</dcterms:created>
  <dcterms:modified xsi:type="dcterms:W3CDTF">2019-07-08T08:10:00Z</dcterms:modified>
</cp:coreProperties>
</file>