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18" w:rsidRPr="00807F3D" w:rsidRDefault="00502518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</w:p>
    <w:p w:rsidR="00173A69" w:rsidRPr="00714166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Պատրաստված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է </w:t>
      </w:r>
      <w:r w:rsidR="00EE330C" w:rsidRPr="00714166">
        <w:rPr>
          <w:rFonts w:ascii="GHEA Grapalat" w:hAnsi="GHEA Grapalat"/>
          <w:b/>
          <w:i/>
          <w:sz w:val="16"/>
          <w:szCs w:val="16"/>
        </w:rPr>
        <w:t xml:space="preserve">ՀՀ </w:t>
      </w:r>
      <w:r w:rsidRPr="00714166">
        <w:rPr>
          <w:rFonts w:ascii="GHEA Grapalat" w:hAnsi="GHEA Grapalat"/>
          <w:b/>
          <w:i/>
          <w:sz w:val="16"/>
          <w:szCs w:val="16"/>
        </w:rPr>
        <w:t xml:space="preserve">ԱԺ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բյուջետային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գրասենյակի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կողմից</w:t>
      </w:r>
      <w:proofErr w:type="spellEnd"/>
    </w:p>
    <w:p w:rsidR="00173A69" w:rsidRPr="00BF5ED3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</w:rPr>
      </w:pPr>
      <w:r w:rsidRPr="00BF5ED3">
        <w:rPr>
          <w:rFonts w:ascii="GHEA Grapalat" w:eastAsia="Times New Roman" w:hAnsi="GHEA Grapalat" w:cs="Arial"/>
          <w:b/>
          <w:bCs/>
        </w:rPr>
        <w:t>ՏԵՂԵԿԱՆՔ</w:t>
      </w:r>
    </w:p>
    <w:p w:rsidR="00976225" w:rsidRPr="00BF5ED3" w:rsidRDefault="007B05AA" w:rsidP="007B05AA">
      <w:pPr>
        <w:spacing w:after="0" w:line="240" w:lineRule="auto"/>
        <w:jc w:val="center"/>
        <w:rPr>
          <w:rFonts w:ascii="GHEA Grapalat" w:eastAsia="Times New Roman" w:hAnsi="GHEA Grapalat" w:cs="Arial"/>
          <w:b/>
        </w:rPr>
      </w:pPr>
      <w:proofErr w:type="gramStart"/>
      <w:r w:rsidRPr="00BF5ED3">
        <w:rPr>
          <w:rFonts w:ascii="GHEA Grapalat" w:eastAsia="Times New Roman" w:hAnsi="GHEA Grapalat" w:cs="Arial"/>
          <w:b/>
        </w:rPr>
        <w:t>ՀՀ</w:t>
      </w:r>
      <w:r w:rsidR="00BB0E30" w:rsidRPr="00BF5ED3">
        <w:rPr>
          <w:rFonts w:ascii="GHEA Grapalat" w:eastAsia="Times New Roman" w:hAnsi="GHEA Grapalat" w:cs="Arial"/>
          <w:b/>
        </w:rPr>
        <w:t xml:space="preserve"> 2017-2018</w:t>
      </w:r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թթ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>.</w:t>
      </w:r>
      <w:proofErr w:type="gram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proofErr w:type="gramStart"/>
      <w:r w:rsidR="00691BBD" w:rsidRPr="00BF5ED3">
        <w:rPr>
          <w:rFonts w:ascii="GHEA Grapalat" w:eastAsia="Times New Roman" w:hAnsi="GHEA Grapalat" w:cs="Arial"/>
          <w:b/>
        </w:rPr>
        <w:t>պետական</w:t>
      </w:r>
      <w:proofErr w:type="spellEnd"/>
      <w:proofErr w:type="gram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բյուջեների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եկամուտների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վերաբերյալ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 xml:space="preserve"> (</w:t>
      </w:r>
      <w:proofErr w:type="spellStart"/>
      <w:r w:rsidR="00691BBD" w:rsidRPr="00BF5ED3">
        <w:rPr>
          <w:rFonts w:ascii="GHEA Grapalat" w:eastAsia="Times New Roman" w:hAnsi="GHEA Grapalat" w:cs="Arial"/>
          <w:b/>
        </w:rPr>
        <w:t>հունվար</w:t>
      </w:r>
      <w:r w:rsidR="001C314C" w:rsidRPr="00BF5ED3">
        <w:rPr>
          <w:rFonts w:ascii="GHEA Grapalat" w:eastAsia="Times New Roman" w:hAnsi="GHEA Grapalat" w:cs="Arial"/>
          <w:b/>
        </w:rPr>
        <w:t>-</w:t>
      </w:r>
      <w:r w:rsidR="001767A7">
        <w:rPr>
          <w:rFonts w:ascii="GHEA Grapalat" w:eastAsia="Times New Roman" w:hAnsi="GHEA Grapalat" w:cs="Arial"/>
          <w:b/>
        </w:rPr>
        <w:t>սեպտեմբեր</w:t>
      </w:r>
      <w:proofErr w:type="spellEnd"/>
      <w:r w:rsidR="00691BBD" w:rsidRPr="00BF5ED3">
        <w:rPr>
          <w:rFonts w:ascii="GHEA Grapalat" w:eastAsia="Times New Roman" w:hAnsi="GHEA Grapalat" w:cs="Arial"/>
          <w:b/>
        </w:rPr>
        <w:t>)`</w:t>
      </w:r>
      <w:r w:rsidRPr="00BF5ED3">
        <w:rPr>
          <w:rFonts w:ascii="GHEA Grapalat" w:eastAsia="Times New Roman" w:hAnsi="GHEA Grapalat" w:cs="Arial"/>
          <w:b/>
        </w:rPr>
        <w:t xml:space="preserve"> </w:t>
      </w:r>
      <w:proofErr w:type="spellStart"/>
      <w:r w:rsidR="00D72992" w:rsidRPr="00BF5ED3">
        <w:rPr>
          <w:rFonts w:ascii="GHEA Grapalat" w:eastAsia="Times New Roman" w:hAnsi="GHEA Grapalat" w:cs="Arial"/>
          <w:b/>
        </w:rPr>
        <w:t>գ</w:t>
      </w:r>
      <w:r w:rsidR="00691BBD" w:rsidRPr="00BF5ED3">
        <w:rPr>
          <w:rFonts w:ascii="GHEA Grapalat" w:eastAsia="Times New Roman" w:hAnsi="GHEA Grapalat" w:cs="Arial"/>
          <w:b/>
        </w:rPr>
        <w:t>ծապատկերներով</w:t>
      </w:r>
      <w:proofErr w:type="spellEnd"/>
      <w:r w:rsidR="005B32B8" w:rsidRPr="00BF5ED3">
        <w:rPr>
          <w:rFonts w:ascii="GHEA Grapalat" w:eastAsia="Times New Roman" w:hAnsi="GHEA Grapalat" w:cs="Arial"/>
          <w:b/>
        </w:rPr>
        <w:t xml:space="preserve">  </w:t>
      </w:r>
      <w:r w:rsidR="00A261CA" w:rsidRPr="00BF5ED3">
        <w:rPr>
          <w:rFonts w:ascii="GHEA Grapalat" w:eastAsia="Times New Roman" w:hAnsi="GHEA Grapalat" w:cs="Arial"/>
          <w:b/>
        </w:rPr>
        <w:t xml:space="preserve"> </w:t>
      </w:r>
    </w:p>
    <w:p w:rsidR="00976225" w:rsidRPr="00BF5ED3" w:rsidRDefault="00976225" w:rsidP="00976225">
      <w:pPr>
        <w:spacing w:after="0" w:line="240" w:lineRule="auto"/>
        <w:rPr>
          <w:rFonts w:ascii="GHEA Grapalat" w:hAnsi="GHEA Grapalat" w:cs="Sylfaen"/>
          <w:i/>
          <w:sz w:val="4"/>
          <w:szCs w:val="4"/>
        </w:rPr>
      </w:pPr>
      <w:r w:rsidRPr="00AA1227">
        <w:rPr>
          <w:rFonts w:ascii="GHEA Grapalat" w:hAnsi="GHEA Grapalat" w:cs="Sylfaen"/>
          <w:sz w:val="20"/>
          <w:szCs w:val="20"/>
        </w:rPr>
        <w:t xml:space="preserve">      </w:t>
      </w:r>
      <w:r w:rsidRPr="00AA1227">
        <w:rPr>
          <w:rFonts w:ascii="GHEA Grapalat" w:hAnsi="GHEA Grapalat" w:cs="Sylfaen"/>
          <w:i/>
          <w:sz w:val="17"/>
          <w:szCs w:val="17"/>
        </w:rPr>
        <w:t xml:space="preserve"> </w:t>
      </w:r>
    </w:p>
    <w:p w:rsidR="00976225" w:rsidRDefault="00976225" w:rsidP="00976225">
      <w:pPr>
        <w:spacing w:after="0" w:line="240" w:lineRule="auto"/>
        <w:jc w:val="center"/>
        <w:rPr>
          <w:rFonts w:ascii="GHEA Grapalat" w:hAnsi="GHEA Grapalat" w:cs="Sylfaen"/>
          <w:i/>
          <w:sz w:val="17"/>
          <w:szCs w:val="17"/>
        </w:rPr>
      </w:pPr>
      <w:r>
        <w:rPr>
          <w:rFonts w:ascii="GHEA Grapalat" w:hAnsi="GHEA Grapalat" w:cs="Sylfaen"/>
          <w:i/>
          <w:sz w:val="17"/>
          <w:szCs w:val="17"/>
        </w:rPr>
        <w:t>(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Տեղեկատվության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աղբյուրներ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են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հանդիսացել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ֆինանսների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նախարարության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ինտերնետային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կայքում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հրապարակված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2017-2018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թթ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կատարման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="001767A7">
        <w:rPr>
          <w:rFonts w:ascii="GHEA Grapalat" w:hAnsi="GHEA Grapalat" w:cs="Sylfaen"/>
          <w:i/>
          <w:sz w:val="17"/>
          <w:szCs w:val="17"/>
        </w:rPr>
        <w:t>սեպտեմբեր</w:t>
      </w:r>
      <w:proofErr w:type="spellEnd"/>
      <w:r w:rsidRPr="00976225">
        <w:rPr>
          <w:rFonts w:ascii="GHEA Grapalat" w:hAnsi="GHEA Grapalat" w:cs="Sylfaen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ամսվա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ամփոփ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բնութագրերը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և</w:t>
      </w:r>
      <w:r w:rsidRPr="00976225">
        <w:rPr>
          <w:rFonts w:ascii="GHEA Grapalat" w:hAnsi="GHEA Grapalat"/>
          <w:i/>
          <w:sz w:val="17"/>
          <w:szCs w:val="17"/>
        </w:rPr>
        <w:t xml:space="preserve"> «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2018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բյուջեի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կատարումն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ապահովող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միջոցառումների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մասին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»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կառավարության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28.12.2017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թիվ</w:t>
      </w:r>
      <w:proofErr w:type="spellEnd"/>
      <w:r w:rsidRPr="00976225">
        <w:rPr>
          <w:rFonts w:ascii="GHEA Grapalat" w:hAnsi="GHEA Grapalat"/>
          <w:i/>
          <w:sz w:val="17"/>
          <w:szCs w:val="17"/>
        </w:rPr>
        <w:t xml:space="preserve"> 1717-</w:t>
      </w:r>
      <w:r w:rsidRPr="00976225">
        <w:rPr>
          <w:rFonts w:ascii="GHEA Grapalat" w:hAnsi="GHEA Grapalat" w:cs="Sylfaen"/>
          <w:i/>
          <w:sz w:val="17"/>
          <w:szCs w:val="17"/>
        </w:rPr>
        <w:t>Ն</w:t>
      </w:r>
      <w:r w:rsidRPr="00976225">
        <w:rPr>
          <w:rFonts w:ascii="GHEA Grapalat" w:hAnsi="GHEA Grapalat"/>
          <w:i/>
          <w:sz w:val="17"/>
          <w:szCs w:val="17"/>
        </w:rPr>
        <w:t xml:space="preserve"> </w:t>
      </w:r>
      <w:proofErr w:type="spellStart"/>
      <w:r w:rsidRPr="00976225">
        <w:rPr>
          <w:rFonts w:ascii="GHEA Grapalat" w:hAnsi="GHEA Grapalat" w:cs="Sylfaen"/>
          <w:i/>
          <w:sz w:val="17"/>
          <w:szCs w:val="17"/>
        </w:rPr>
        <w:t>որոշումը</w:t>
      </w:r>
      <w:proofErr w:type="spellEnd"/>
      <w:r>
        <w:rPr>
          <w:rFonts w:ascii="GHEA Grapalat" w:hAnsi="GHEA Grapalat" w:cs="Sylfaen"/>
          <w:i/>
          <w:sz w:val="17"/>
          <w:szCs w:val="17"/>
        </w:rPr>
        <w:t>)</w:t>
      </w:r>
    </w:p>
    <w:p w:rsidR="00B71918" w:rsidRPr="009410F2" w:rsidRDefault="009410F2" w:rsidP="009410F2">
      <w:pPr>
        <w:tabs>
          <w:tab w:val="center" w:pos="7290"/>
          <w:tab w:val="left" w:pos="10920"/>
        </w:tabs>
        <w:spacing w:after="0" w:line="240" w:lineRule="auto"/>
        <w:rPr>
          <w:rFonts w:ascii="GHEA Grapalat" w:eastAsia="Times New Roman" w:hAnsi="GHEA Grapalat" w:cs="Arial"/>
          <w:sz w:val="6"/>
          <w:szCs w:val="6"/>
        </w:rPr>
      </w:pPr>
      <w:r w:rsidRPr="009410F2">
        <w:rPr>
          <w:rFonts w:ascii="GHEA Grapalat" w:eastAsia="Times New Roman" w:hAnsi="GHEA Grapalat" w:cs="Arial"/>
          <w:sz w:val="6"/>
          <w:szCs w:val="6"/>
        </w:rPr>
        <w:tab/>
      </w:r>
    </w:p>
    <w:p w:rsidR="00A24C4C" w:rsidRDefault="001767A7">
      <w:pPr>
        <w:rPr>
          <w:rFonts w:ascii="GHEA Grapalat" w:hAnsi="GHEA Grapalat" w:cs="Sylfaen"/>
        </w:rPr>
      </w:pPr>
      <w:r w:rsidRPr="001767A7">
        <w:rPr>
          <w:rFonts w:ascii="GHEA Grapalat" w:hAnsi="GHEA Grapalat" w:cs="Sylfaen"/>
          <w:noProof/>
        </w:rPr>
        <w:drawing>
          <wp:inline distT="0" distB="0" distL="0" distR="0">
            <wp:extent cx="4526915" cy="2286000"/>
            <wp:effectExtent l="19050" t="0" r="260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036AA">
        <w:rPr>
          <w:rFonts w:ascii="GHEA Grapalat" w:hAnsi="GHEA Grapalat" w:cs="Sylfaen"/>
        </w:rPr>
        <w:t xml:space="preserve">  </w:t>
      </w:r>
      <w:r w:rsidR="00594BFE">
        <w:rPr>
          <w:rFonts w:ascii="GHEA Grapalat" w:hAnsi="GHEA Grapalat" w:cs="Sylfaen"/>
        </w:rPr>
        <w:t xml:space="preserve"> </w:t>
      </w:r>
      <w:r w:rsidR="00E036AA">
        <w:rPr>
          <w:rFonts w:ascii="GHEA Grapalat" w:hAnsi="GHEA Grapalat" w:cs="Sylfaen"/>
        </w:rPr>
        <w:t xml:space="preserve"> </w:t>
      </w:r>
      <w:r w:rsidRPr="001767A7">
        <w:rPr>
          <w:rFonts w:ascii="GHEA Grapalat" w:hAnsi="GHEA Grapalat" w:cs="Sylfaen"/>
          <w:noProof/>
        </w:rPr>
        <w:drawing>
          <wp:inline distT="0" distB="0" distL="0" distR="0">
            <wp:extent cx="4360757" cy="2286000"/>
            <wp:effectExtent l="19050" t="0" r="2074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7B1" w:rsidRDefault="00E63651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E63651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526915" cy="2650067"/>
            <wp:effectExtent l="19050" t="0" r="2603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="008E20D2">
        <w:rPr>
          <w:rFonts w:ascii="GHEA Grapalat" w:hAnsi="GHEA Grapalat" w:cs="Sylfaen"/>
          <w:sz w:val="16"/>
          <w:szCs w:val="16"/>
        </w:rPr>
        <w:t xml:space="preserve"> </w:t>
      </w:r>
      <w:r w:rsidR="00D451A8">
        <w:rPr>
          <w:rFonts w:ascii="GHEA Grapalat" w:hAnsi="GHEA Grapalat" w:cs="Sylfaen"/>
          <w:sz w:val="16"/>
          <w:szCs w:val="16"/>
        </w:rPr>
        <w:t xml:space="preserve">  </w:t>
      </w:r>
      <w:r w:rsidRPr="00E63651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380230" cy="2648162"/>
            <wp:effectExtent l="19050" t="0" r="2032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7B1" w:rsidRPr="00440A22" w:rsidRDefault="004477B1" w:rsidP="00B71918">
      <w:pPr>
        <w:spacing w:after="0" w:line="240" w:lineRule="auto"/>
        <w:rPr>
          <w:rFonts w:ascii="GHEA Grapalat" w:hAnsi="GHEA Grapalat" w:cs="Sylfaen"/>
          <w:sz w:val="6"/>
          <w:szCs w:val="6"/>
        </w:rPr>
      </w:pPr>
    </w:p>
    <w:p w:rsidR="00EF473D" w:rsidRPr="00BF5ED3" w:rsidRDefault="00401BE2" w:rsidP="00AA1227">
      <w:pPr>
        <w:spacing w:after="0" w:line="240" w:lineRule="auto"/>
        <w:rPr>
          <w:rFonts w:ascii="GHEA Grapalat" w:hAnsi="GHEA Grapalat" w:cs="Sylfaen"/>
          <w:b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*</w:t>
      </w:r>
      <w:r w:rsidR="00AA1227" w:rsidRPr="00BF5ED3">
        <w:rPr>
          <w:rFonts w:ascii="GHEA Grapalat" w:hAnsi="GHEA Grapalat" w:cs="Sylfaen"/>
          <w:sz w:val="17"/>
          <w:szCs w:val="17"/>
        </w:rPr>
        <w:t xml:space="preserve"> 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2018 թ.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հունվարի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1-ից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ուժի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մեջ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է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մտել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ՀՀ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հարկային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օրենսգիրքը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ինչը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հնարավորություն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չի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ընձեռում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 2018 թ.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ամսեկան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եկամուտների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ցուցանիշները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համադրել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նախորդ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տարիների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ցուցանիշների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հետ</w:t>
      </w:r>
      <w:proofErr w:type="spellEnd"/>
      <w:r w:rsidR="00E85241" w:rsidRPr="00BF5ED3">
        <w:rPr>
          <w:rFonts w:ascii="GHEA Grapalat" w:hAnsi="GHEA Grapalat" w:cs="Sylfaen"/>
          <w:b/>
          <w:sz w:val="17"/>
          <w:szCs w:val="17"/>
        </w:rPr>
        <w:t>:</w:t>
      </w:r>
    </w:p>
    <w:p w:rsidR="00401BE2" w:rsidRPr="00BF5ED3" w:rsidRDefault="00AA1227" w:rsidP="00AA1227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 </w:t>
      </w:r>
      <w:r w:rsidR="00EF473D" w:rsidRPr="00BF5ED3">
        <w:rPr>
          <w:rFonts w:ascii="GHEA Grapalat" w:hAnsi="GHEA Grapalat" w:cs="Sylfaen"/>
          <w:sz w:val="17"/>
          <w:szCs w:val="17"/>
        </w:rPr>
        <w:t xml:space="preserve">2018թ.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հունվար-</w:t>
      </w:r>
      <w:r w:rsidR="00502518">
        <w:rPr>
          <w:rFonts w:ascii="GHEA Grapalat" w:hAnsi="GHEA Grapalat" w:cs="Sylfaen"/>
          <w:sz w:val="17"/>
          <w:szCs w:val="17"/>
        </w:rPr>
        <w:t>սեպտեմբեր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ամիսներին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վճարողների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հարկային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պարտավորությունների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մարման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նպատակով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գանձապետարանի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կողմից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վարվող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միասնական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զուտ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և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առանձին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հարկատեսակների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գծով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պարտավորությունները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հաշվառող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՝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բյուջեի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հաշիվների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հանրագումարը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կազմել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է </w:t>
      </w:r>
      <w:r w:rsidR="00502518">
        <w:rPr>
          <w:rFonts w:ascii="GHEA Grapalat" w:hAnsi="GHEA Grapalat" w:cs="Sylfaen"/>
          <w:b/>
          <w:sz w:val="17"/>
          <w:szCs w:val="17"/>
        </w:rPr>
        <w:t>919</w:t>
      </w:r>
      <w:r w:rsidR="00B51DA5" w:rsidRPr="00BF5ED3">
        <w:rPr>
          <w:rFonts w:ascii="GHEA Grapalat" w:hAnsi="GHEA Grapalat" w:cs="Sylfaen"/>
          <w:b/>
          <w:sz w:val="17"/>
          <w:szCs w:val="17"/>
        </w:rPr>
        <w:t>.6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մլրդ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դրամ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:  </w:t>
      </w:r>
    </w:p>
    <w:p w:rsidR="00EF473D" w:rsidRPr="00BF5ED3" w:rsidRDefault="00AA1227" w:rsidP="00AA1227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Հարկերի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միասնական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գանձապետական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զուտ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մուտքը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հունվար-</w:t>
      </w:r>
      <w:r w:rsidR="00B51DA5" w:rsidRPr="00BF5ED3">
        <w:rPr>
          <w:rFonts w:ascii="GHEA Grapalat" w:hAnsi="GHEA Grapalat" w:cs="Sylfaen"/>
          <w:sz w:val="17"/>
          <w:szCs w:val="17"/>
        </w:rPr>
        <w:t>օգոստոս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ամիսներին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կազմել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է </w:t>
      </w:r>
      <w:r w:rsidR="00502518">
        <w:rPr>
          <w:rFonts w:ascii="GHEA Grapalat" w:hAnsi="GHEA Grapalat" w:cs="Sylfaen"/>
          <w:b/>
          <w:sz w:val="17"/>
          <w:szCs w:val="17"/>
        </w:rPr>
        <w:t>31</w:t>
      </w:r>
      <w:r w:rsidR="00B51DA5" w:rsidRPr="00BF5ED3">
        <w:rPr>
          <w:rFonts w:ascii="GHEA Grapalat" w:hAnsi="GHEA Grapalat" w:cs="Sylfaen"/>
          <w:b/>
          <w:sz w:val="17"/>
          <w:szCs w:val="17"/>
        </w:rPr>
        <w:t>.9</w:t>
      </w:r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մլրդ</w:t>
      </w:r>
      <w:proofErr w:type="spellEnd"/>
      <w:r w:rsidR="00EF473D" w:rsidRPr="00BF5ED3">
        <w:rPr>
          <w:rFonts w:ascii="GHEA Grapalat" w:hAnsi="GHEA Grapalat" w:cs="Sylfaen"/>
          <w:b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b/>
          <w:sz w:val="17"/>
          <w:szCs w:val="17"/>
        </w:rPr>
        <w:t>դրամ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որը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ի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տարբերություն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նախորդ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տարիների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,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վերոնշյալ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փոփոխությամբ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պայմանավորված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՝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չի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հաշվառվել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որպես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պետական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բյուջեի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 </w:t>
      </w:r>
      <w:proofErr w:type="spellStart"/>
      <w:r w:rsidR="00EF473D" w:rsidRPr="00BF5ED3">
        <w:rPr>
          <w:rFonts w:ascii="GHEA Grapalat" w:hAnsi="GHEA Grapalat" w:cs="Sylfaen"/>
          <w:sz w:val="17"/>
          <w:szCs w:val="17"/>
        </w:rPr>
        <w:t>եկամուտ</w:t>
      </w:r>
      <w:proofErr w:type="spellEnd"/>
      <w:r w:rsidR="00EF473D" w:rsidRPr="00BF5ED3">
        <w:rPr>
          <w:rFonts w:ascii="GHEA Grapalat" w:hAnsi="GHEA Grapalat" w:cs="Sylfaen"/>
          <w:sz w:val="17"/>
          <w:szCs w:val="17"/>
        </w:rPr>
        <w:t xml:space="preserve">:         </w:t>
      </w:r>
    </w:p>
    <w:sectPr w:rsidR="00EF473D" w:rsidRPr="00BF5ED3" w:rsidSect="00BF5ED3">
      <w:pgSz w:w="15840" w:h="12240" w:orient="landscape"/>
      <w:pgMar w:top="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6C43"/>
    <w:multiLevelType w:val="hybridMultilevel"/>
    <w:tmpl w:val="81DC6A40"/>
    <w:lvl w:ilvl="0" w:tplc="29646DD2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19D"/>
    <w:multiLevelType w:val="hybridMultilevel"/>
    <w:tmpl w:val="6958EA4E"/>
    <w:lvl w:ilvl="0" w:tplc="C7C0A04E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1375F"/>
    <w:multiLevelType w:val="hybridMultilevel"/>
    <w:tmpl w:val="7A7C6D8E"/>
    <w:lvl w:ilvl="0" w:tplc="1F1AA460">
      <w:numFmt w:val="bullet"/>
      <w:lvlText w:val=""/>
      <w:lvlJc w:val="left"/>
      <w:pPr>
        <w:ind w:left="72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0953"/>
    <w:rsid w:val="0000664B"/>
    <w:rsid w:val="0000686A"/>
    <w:rsid w:val="00073787"/>
    <w:rsid w:val="000872D6"/>
    <w:rsid w:val="000B64F2"/>
    <w:rsid w:val="000C6045"/>
    <w:rsid w:val="00110A33"/>
    <w:rsid w:val="00113D8C"/>
    <w:rsid w:val="00116141"/>
    <w:rsid w:val="0011722B"/>
    <w:rsid w:val="0016256A"/>
    <w:rsid w:val="00163C38"/>
    <w:rsid w:val="00173A69"/>
    <w:rsid w:val="001767A7"/>
    <w:rsid w:val="00180890"/>
    <w:rsid w:val="0019261D"/>
    <w:rsid w:val="0019674F"/>
    <w:rsid w:val="001A2909"/>
    <w:rsid w:val="001C1E51"/>
    <w:rsid w:val="001C314C"/>
    <w:rsid w:val="001C70EA"/>
    <w:rsid w:val="001E53D0"/>
    <w:rsid w:val="001E74F4"/>
    <w:rsid w:val="001F75CD"/>
    <w:rsid w:val="00202C63"/>
    <w:rsid w:val="002272E5"/>
    <w:rsid w:val="00230D6A"/>
    <w:rsid w:val="00234DE6"/>
    <w:rsid w:val="00256212"/>
    <w:rsid w:val="00283215"/>
    <w:rsid w:val="00291EAC"/>
    <w:rsid w:val="002B3378"/>
    <w:rsid w:val="002C450F"/>
    <w:rsid w:val="003314D4"/>
    <w:rsid w:val="00377F2F"/>
    <w:rsid w:val="00381D7E"/>
    <w:rsid w:val="003903FB"/>
    <w:rsid w:val="003A07E4"/>
    <w:rsid w:val="003B3391"/>
    <w:rsid w:val="003C04F6"/>
    <w:rsid w:val="003C5FED"/>
    <w:rsid w:val="003C620F"/>
    <w:rsid w:val="003E3CEE"/>
    <w:rsid w:val="003F13BC"/>
    <w:rsid w:val="00401BE2"/>
    <w:rsid w:val="00434908"/>
    <w:rsid w:val="00440A22"/>
    <w:rsid w:val="00440E37"/>
    <w:rsid w:val="0044624B"/>
    <w:rsid w:val="004477B1"/>
    <w:rsid w:val="004514B4"/>
    <w:rsid w:val="00453866"/>
    <w:rsid w:val="004856A3"/>
    <w:rsid w:val="00493531"/>
    <w:rsid w:val="004A0252"/>
    <w:rsid w:val="004C2632"/>
    <w:rsid w:val="004D1EF0"/>
    <w:rsid w:val="004E304D"/>
    <w:rsid w:val="004E3B1B"/>
    <w:rsid w:val="00502518"/>
    <w:rsid w:val="00510552"/>
    <w:rsid w:val="00526BC2"/>
    <w:rsid w:val="005370AE"/>
    <w:rsid w:val="005768CB"/>
    <w:rsid w:val="00577BCF"/>
    <w:rsid w:val="0058408A"/>
    <w:rsid w:val="00594BFE"/>
    <w:rsid w:val="005A3724"/>
    <w:rsid w:val="005A6FB5"/>
    <w:rsid w:val="005A7921"/>
    <w:rsid w:val="005B32B8"/>
    <w:rsid w:val="005D27EF"/>
    <w:rsid w:val="005E0FD9"/>
    <w:rsid w:val="005F01F7"/>
    <w:rsid w:val="00605C18"/>
    <w:rsid w:val="00606987"/>
    <w:rsid w:val="00607EE8"/>
    <w:rsid w:val="00610B2A"/>
    <w:rsid w:val="00653F1D"/>
    <w:rsid w:val="00657CA8"/>
    <w:rsid w:val="00674204"/>
    <w:rsid w:val="00674A72"/>
    <w:rsid w:val="00683FE4"/>
    <w:rsid w:val="00691724"/>
    <w:rsid w:val="00691BBD"/>
    <w:rsid w:val="006A139C"/>
    <w:rsid w:val="006A7C1F"/>
    <w:rsid w:val="006E136E"/>
    <w:rsid w:val="006E7C57"/>
    <w:rsid w:val="006F0FC7"/>
    <w:rsid w:val="00702225"/>
    <w:rsid w:val="007112B3"/>
    <w:rsid w:val="00714166"/>
    <w:rsid w:val="00725F45"/>
    <w:rsid w:val="007263E2"/>
    <w:rsid w:val="00743126"/>
    <w:rsid w:val="00751C9B"/>
    <w:rsid w:val="007833A4"/>
    <w:rsid w:val="00783AB0"/>
    <w:rsid w:val="00790D70"/>
    <w:rsid w:val="007A07FF"/>
    <w:rsid w:val="007A30C5"/>
    <w:rsid w:val="007B05AA"/>
    <w:rsid w:val="007E157D"/>
    <w:rsid w:val="007F2E64"/>
    <w:rsid w:val="00807F3D"/>
    <w:rsid w:val="008348A9"/>
    <w:rsid w:val="00845E5A"/>
    <w:rsid w:val="00857A72"/>
    <w:rsid w:val="00866A82"/>
    <w:rsid w:val="00873755"/>
    <w:rsid w:val="00883E3D"/>
    <w:rsid w:val="008D4C7E"/>
    <w:rsid w:val="008D6554"/>
    <w:rsid w:val="008E20D2"/>
    <w:rsid w:val="008E60C4"/>
    <w:rsid w:val="008F6ADD"/>
    <w:rsid w:val="00902412"/>
    <w:rsid w:val="009056F8"/>
    <w:rsid w:val="0090615B"/>
    <w:rsid w:val="00906274"/>
    <w:rsid w:val="0093464C"/>
    <w:rsid w:val="00934C96"/>
    <w:rsid w:val="009410F2"/>
    <w:rsid w:val="0095789A"/>
    <w:rsid w:val="00961B45"/>
    <w:rsid w:val="00967281"/>
    <w:rsid w:val="00976225"/>
    <w:rsid w:val="00981A88"/>
    <w:rsid w:val="009879C6"/>
    <w:rsid w:val="009A5C6E"/>
    <w:rsid w:val="009B73B8"/>
    <w:rsid w:val="009D633F"/>
    <w:rsid w:val="009D74E4"/>
    <w:rsid w:val="009E53E4"/>
    <w:rsid w:val="00A24485"/>
    <w:rsid w:val="00A24C4C"/>
    <w:rsid w:val="00A261CA"/>
    <w:rsid w:val="00A31794"/>
    <w:rsid w:val="00A36C51"/>
    <w:rsid w:val="00A42B71"/>
    <w:rsid w:val="00A54DB0"/>
    <w:rsid w:val="00A57EEF"/>
    <w:rsid w:val="00A6161B"/>
    <w:rsid w:val="00A824BA"/>
    <w:rsid w:val="00A855AE"/>
    <w:rsid w:val="00AA1227"/>
    <w:rsid w:val="00AA2498"/>
    <w:rsid w:val="00AA5EF0"/>
    <w:rsid w:val="00AC1091"/>
    <w:rsid w:val="00AD3113"/>
    <w:rsid w:val="00AE615B"/>
    <w:rsid w:val="00B1251F"/>
    <w:rsid w:val="00B33D18"/>
    <w:rsid w:val="00B51DA5"/>
    <w:rsid w:val="00B53F72"/>
    <w:rsid w:val="00B60294"/>
    <w:rsid w:val="00B60913"/>
    <w:rsid w:val="00B71918"/>
    <w:rsid w:val="00B728BF"/>
    <w:rsid w:val="00B93572"/>
    <w:rsid w:val="00B9763B"/>
    <w:rsid w:val="00BA4DE7"/>
    <w:rsid w:val="00BB0E30"/>
    <w:rsid w:val="00BF5ED3"/>
    <w:rsid w:val="00C154E3"/>
    <w:rsid w:val="00C21AB6"/>
    <w:rsid w:val="00C5174D"/>
    <w:rsid w:val="00C5622D"/>
    <w:rsid w:val="00C722FB"/>
    <w:rsid w:val="00C90DAB"/>
    <w:rsid w:val="00C9405D"/>
    <w:rsid w:val="00CA6F13"/>
    <w:rsid w:val="00CB7BF1"/>
    <w:rsid w:val="00CD48BD"/>
    <w:rsid w:val="00CE1250"/>
    <w:rsid w:val="00CE73D3"/>
    <w:rsid w:val="00CF5EDF"/>
    <w:rsid w:val="00CF72D9"/>
    <w:rsid w:val="00D03A5C"/>
    <w:rsid w:val="00D231D5"/>
    <w:rsid w:val="00D25867"/>
    <w:rsid w:val="00D25DF0"/>
    <w:rsid w:val="00D43B7C"/>
    <w:rsid w:val="00D451A8"/>
    <w:rsid w:val="00D55707"/>
    <w:rsid w:val="00D61722"/>
    <w:rsid w:val="00D72992"/>
    <w:rsid w:val="00D76530"/>
    <w:rsid w:val="00D81FAB"/>
    <w:rsid w:val="00D8573C"/>
    <w:rsid w:val="00D91842"/>
    <w:rsid w:val="00DA6B20"/>
    <w:rsid w:val="00DC6619"/>
    <w:rsid w:val="00E036AA"/>
    <w:rsid w:val="00E10649"/>
    <w:rsid w:val="00E17119"/>
    <w:rsid w:val="00E23B6F"/>
    <w:rsid w:val="00E54B68"/>
    <w:rsid w:val="00E63651"/>
    <w:rsid w:val="00E80926"/>
    <w:rsid w:val="00E85241"/>
    <w:rsid w:val="00E91C9A"/>
    <w:rsid w:val="00EA02EE"/>
    <w:rsid w:val="00EB23A8"/>
    <w:rsid w:val="00ED0557"/>
    <w:rsid w:val="00EE330C"/>
    <w:rsid w:val="00EF473D"/>
    <w:rsid w:val="00F07CF6"/>
    <w:rsid w:val="00F11E2D"/>
    <w:rsid w:val="00F22D92"/>
    <w:rsid w:val="00F3019B"/>
    <w:rsid w:val="00F302FF"/>
    <w:rsid w:val="00F36205"/>
    <w:rsid w:val="00F51F9A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September\hunvar-september%202018-%20Ekamutner%20-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September\hunvar-september%202018-%20Ekamutner%20-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September\hunvar-september%202018-%20Ekamutner%20-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81;&#1394;&#1381;&#1391;&#1377;&#1398;&#1412;&#1398;&#1381;&#1408;%202018\&#1333;&#1343;&#1329;&#1348;&#1352;&#1362;&#1359;&#1350;&#1333;&#1360;%202018\September\hunvar-september%202018-%20Ekamutner%20-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900" b="1" i="0" baseline="0">
                <a:latin typeface="GHEA Grapalat" pitchFamily="50" charset="0"/>
              </a:rPr>
              <a:t>ՀՀ 2018 թվականի  պետական բյուջեի  հուվար-սեպտեմբեր ամիսների եկամուտներ (մլրդ 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338783315112133"/>
          <c:y val="0"/>
        </c:manualLayout>
      </c:layout>
    </c:title>
    <c:plotArea>
      <c:layout>
        <c:manualLayout>
          <c:layoutTarget val="inner"/>
          <c:xMode val="edge"/>
          <c:yMode val="edge"/>
          <c:x val="0.10897266681614302"/>
          <c:y val="0.19788188976377952"/>
          <c:w val="0.87138923527391243"/>
          <c:h val="0.52587401574803161"/>
        </c:manualLayout>
      </c:layout>
      <c:barChart>
        <c:barDir val="col"/>
        <c:grouping val="clustered"/>
        <c:ser>
          <c:idx val="0"/>
          <c:order val="0"/>
          <c:tx>
            <c:strRef>
              <c:f>Sheet2!$B$1</c:f>
              <c:strCache>
                <c:ptCount val="1"/>
                <c:pt idx="0">
                  <c:v>2018թ. (ինն ամիսների (հաստատված))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spPr>
              <a:solidFill>
                <a:schemeClr val="tx1"/>
              </a:solidFill>
              <a:effectLst>
                <a:outerShdw blurRad="40000" dist="23000" dir="5400000" rotWithShape="0">
                  <a:srgbClr val="FFFF00">
                    <a:alpha val="35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947.7</c:v>
                </c:pt>
                <c:pt idx="1">
                  <c:v>907.7</c:v>
                </c:pt>
                <c:pt idx="2">
                  <c:v>22.8</c:v>
                </c:pt>
                <c:pt idx="3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943.8</c:v>
                </c:pt>
                <c:pt idx="1">
                  <c:v>887.7</c:v>
                </c:pt>
                <c:pt idx="2">
                  <c:v>6.9</c:v>
                </c:pt>
                <c:pt idx="3">
                  <c:v>49.1</c:v>
                </c:pt>
              </c:numCache>
            </c:numRef>
          </c:val>
        </c:ser>
        <c:gapWidth val="75"/>
        <c:overlap val="-25"/>
        <c:axId val="126768640"/>
        <c:axId val="126770176"/>
      </c:barChart>
      <c:catAx>
        <c:axId val="126768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126770176"/>
        <c:crosses val="autoZero"/>
        <c:auto val="1"/>
        <c:lblAlgn val="ctr"/>
        <c:lblOffset val="100"/>
      </c:catAx>
      <c:valAx>
        <c:axId val="12677017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6768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778284990992763E-2"/>
          <c:y val="0.88221084864391952"/>
          <c:w val="0.91122165978376002"/>
          <c:h val="8.4455818022747181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ՀՀ 2017-2018թթ. պետական բյուջեների հունվար-սեպտեմբեր</a:t>
            </a:r>
            <a:r>
              <a:rPr lang="en-US" sz="900" baseline="0">
                <a:latin typeface="GHEA Grapalat" pitchFamily="50" charset="0"/>
              </a:rPr>
              <a:t> </a:t>
            </a:r>
            <a:r>
              <a:rPr lang="en-US" sz="900">
                <a:latin typeface="GHEA Grapalat" pitchFamily="50" charset="0"/>
              </a:rPr>
              <a:t>ամիսների եկամուտներ (մլրդ դրամ)</a:t>
            </a:r>
          </a:p>
        </c:rich>
      </c:tx>
      <c:layout>
        <c:manualLayout>
          <c:xMode val="edge"/>
          <c:yMode val="edge"/>
          <c:x val="0.10084946260477234"/>
          <c:y val="0"/>
        </c:manualLayout>
      </c:layout>
    </c:title>
    <c:plotArea>
      <c:layout>
        <c:manualLayout>
          <c:layoutTarget val="inner"/>
          <c:xMode val="edge"/>
          <c:yMode val="edge"/>
          <c:x val="0.11966885389326334"/>
          <c:y val="0.24790551181102397"/>
          <c:w val="0.84977559055118512"/>
          <c:h val="0.44721653543307083"/>
        </c:manualLayout>
      </c:layout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9123383852849402E-3"/>
                  <c:y val="2.7777777777777853E-2"/>
                </c:manualLayout>
              </c:layout>
              <c:showVal val="1"/>
            </c:dLbl>
            <c:dLbl>
              <c:idx val="1"/>
              <c:layout>
                <c:manualLayout>
                  <c:x val="-2.9123383852849402E-3"/>
                  <c:y val="1.9444444444444445E-2"/>
                </c:manualLayout>
              </c:layout>
              <c:showVal val="1"/>
            </c:dLbl>
            <c:dLbl>
              <c:idx val="2"/>
              <c:layout>
                <c:manualLayout>
                  <c:x val="5.8246767705698813E-3"/>
                  <c:y val="2.777777777777785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222222222222225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888.4</c:v>
                </c:pt>
                <c:pt idx="1">
                  <c:v>836.4</c:v>
                </c:pt>
                <c:pt idx="2">
                  <c:v>7.3</c:v>
                </c:pt>
                <c:pt idx="3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6433483911165014E-3"/>
                  <c:y val="1.388888888888894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2222222222222251E-2"/>
                </c:manualLayout>
              </c:layout>
              <c:showVal val="1"/>
            </c:dLbl>
            <c:dLbl>
              <c:idx val="2"/>
              <c:layout>
                <c:manualLayout>
                  <c:x val="-2.9123383852849402E-3"/>
                  <c:y val="3.333333333333334E-2"/>
                </c:manualLayout>
              </c:layout>
              <c:showVal val="1"/>
            </c:dLbl>
            <c:dLbl>
              <c:idx val="3"/>
              <c:layout>
                <c:manualLayout>
                  <c:x val="-1.0678450721004209E-16"/>
                  <c:y val="1.11111111111111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943.8</c:v>
                </c:pt>
                <c:pt idx="1">
                  <c:v>887.7</c:v>
                </c:pt>
                <c:pt idx="2">
                  <c:v>6.9</c:v>
                </c:pt>
                <c:pt idx="3">
                  <c:v>49.1</c:v>
                </c:pt>
              </c:numCache>
            </c:numRef>
          </c:val>
        </c:ser>
        <c:gapWidth val="75"/>
        <c:overlap val="-25"/>
        <c:axId val="126992768"/>
        <c:axId val="126994304"/>
      </c:barChart>
      <c:catAx>
        <c:axId val="126992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26994304"/>
        <c:crosses val="autoZero"/>
        <c:auto val="1"/>
        <c:lblAlgn val="ctr"/>
        <c:lblOffset val="100"/>
      </c:catAx>
      <c:valAx>
        <c:axId val="12699430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69927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1.7964312159563119E-2"/>
          <c:y val="0.88221084864391952"/>
          <c:w val="0.93203565344273964"/>
          <c:h val="8.4455818022747223E-2"/>
        </c:manualLayout>
      </c:layout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2017-2018 թթ. պետական բյուջեների հունվար-սեպտեմբեր ամիսների եկամուտներ (մլրդ դրամ)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944444444444536"/>
          <c:y val="0"/>
        </c:manualLayout>
      </c:layout>
    </c:title>
    <c:plotArea>
      <c:layout>
        <c:manualLayout>
          <c:layoutTarget val="inner"/>
          <c:xMode val="edge"/>
          <c:yMode val="edge"/>
          <c:x val="9.4398503174899714E-2"/>
          <c:y val="0.14305555555555555"/>
          <c:w val="0.8859633989151543"/>
          <c:h val="0.58482509002990468"/>
        </c:manualLayout>
      </c:layout>
      <c:bar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9446407538280379E-3"/>
                  <c:y val="5.1921079958463139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973683954920752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0768431983385193E-2"/>
                </c:manualLayout>
              </c:layout>
              <c:showVal val="1"/>
            </c:dLbl>
            <c:dLbl>
              <c:idx val="4"/>
              <c:layout>
                <c:manualLayout>
                  <c:x val="-2.8054425585636142E-3"/>
                  <c:y val="1.9736839549207522E-2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289.8</c:v>
                </c:pt>
                <c:pt idx="1">
                  <c:v>54.4</c:v>
                </c:pt>
                <c:pt idx="2">
                  <c:v>87.9</c:v>
                </c:pt>
                <c:pt idx="3">
                  <c:v>248</c:v>
                </c:pt>
                <c:pt idx="4">
                  <c:v>52.2</c:v>
                </c:pt>
                <c:pt idx="5">
                  <c:v>31.3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8.4163276756908396E-3"/>
                  <c:y val="1.0384374950220815E-2"/>
                </c:manualLayout>
              </c:layout>
              <c:showVal val="1"/>
            </c:dLbl>
            <c:dLbl>
              <c:idx val="1"/>
              <c:layout>
                <c:manualLayout>
                  <c:x val="-2.8054425585636142E-3"/>
                  <c:y val="2.96052593238112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960525932381121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9736839549207522E-2"/>
                </c:manualLayout>
              </c:layout>
              <c:showVal val="1"/>
            </c:dLbl>
            <c:dLbl>
              <c:idx val="4"/>
              <c:layout>
                <c:manualLayout>
                  <c:x val="2.805442558563514E-3"/>
                  <c:y val="1.9736839549207522E-2"/>
                </c:manualLayout>
              </c:layout>
              <c:showVal val="1"/>
            </c:dLbl>
            <c:dLbl>
              <c:idx val="5"/>
              <c:layout>
                <c:manualLayout>
                  <c:x val="1.0286503884162675E-16"/>
                  <c:y val="9.8684197746037594E-3"/>
                </c:manualLayout>
              </c:layout>
              <c:showVal val="1"/>
            </c:dLbl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305.3</c:v>
                </c:pt>
                <c:pt idx="1">
                  <c:v>74.3</c:v>
                </c:pt>
                <c:pt idx="2">
                  <c:v>129</c:v>
                </c:pt>
                <c:pt idx="3">
                  <c:v>259.5</c:v>
                </c:pt>
                <c:pt idx="4">
                  <c:v>59.3</c:v>
                </c:pt>
                <c:pt idx="5">
                  <c:v>42.2</c:v>
                </c:pt>
              </c:numCache>
            </c:numRef>
          </c:val>
        </c:ser>
        <c:gapWidth val="75"/>
        <c:overlap val="-25"/>
        <c:axId val="129060864"/>
        <c:axId val="129062400"/>
      </c:barChart>
      <c:catAx>
        <c:axId val="129060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129062400"/>
        <c:crosses val="autoZero"/>
        <c:auto val="1"/>
        <c:lblAlgn val="ctr"/>
        <c:lblOffset val="100"/>
      </c:catAx>
      <c:valAx>
        <c:axId val="12906240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9060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610940342374453E-2"/>
          <c:y val="0.9249899081809585"/>
          <c:w val="0.8999998895495066"/>
          <c:h val="7.5010091819041391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2017-2018 թթ. պետական բյուջեների եկամուտներ (մլրդ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4101706036745411E-2"/>
          <c:y val="0.16467025696633159"/>
          <c:w val="0.8872866791274554"/>
          <c:h val="0.62336360609305275"/>
        </c:manualLayout>
      </c:layout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2.7777777777778004E-3"/>
                  <c:y val="1.851851851851857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Sheet5!$B$2:$B$6</c:f>
              <c:numCache>
                <c:formatCode>#,##0.0;[Red]#,##0.0</c:formatCode>
                <c:ptCount val="5"/>
                <c:pt idx="0">
                  <c:v>2.6</c:v>
                </c:pt>
                <c:pt idx="1">
                  <c:v>13</c:v>
                </c:pt>
                <c:pt idx="2">
                  <c:v>11.1</c:v>
                </c:pt>
                <c:pt idx="3">
                  <c:v>44.8</c:v>
                </c:pt>
                <c:pt idx="4" formatCode="0.0_);\(0.0\)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2"/>
              <c:layout>
                <c:manualLayout>
                  <c:x val="0"/>
                  <c:y val="1.851851851851857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2.7777777777776998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Sheet5!$C$2:$C$6</c:f>
              <c:numCache>
                <c:formatCode>#,##0.0;[Red]#,##0.0</c:formatCode>
                <c:ptCount val="5"/>
                <c:pt idx="0">
                  <c:v>0</c:v>
                </c:pt>
                <c:pt idx="1">
                  <c:v>14.2</c:v>
                </c:pt>
                <c:pt idx="2">
                  <c:v>13.4</c:v>
                </c:pt>
                <c:pt idx="3">
                  <c:v>49.1</c:v>
                </c:pt>
                <c:pt idx="4" formatCode="0.0_);\(0.0\)">
                  <c:v>26.2</c:v>
                </c:pt>
              </c:numCache>
            </c:numRef>
          </c:val>
        </c:ser>
        <c:gapWidth val="75"/>
        <c:overlap val="-25"/>
        <c:axId val="129079936"/>
        <c:axId val="128909696"/>
      </c:barChart>
      <c:catAx>
        <c:axId val="129079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50" b="1">
                <a:latin typeface="GHEA Grapalat" pitchFamily="50" charset="0"/>
              </a:defRPr>
            </a:pPr>
            <a:endParaRPr lang="en-US"/>
          </a:p>
        </c:txPr>
        <c:crossAx val="128909696"/>
        <c:crosses val="autoZero"/>
        <c:auto val="1"/>
        <c:lblAlgn val="ctr"/>
        <c:lblOffset val="100"/>
      </c:catAx>
      <c:valAx>
        <c:axId val="12890969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907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686870324161064E-2"/>
          <c:y val="0.92858971618805863"/>
          <c:w val="0.89702869484022529"/>
          <c:h val="6.6614504701751634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2018-10-25T13:37:00Z</cp:lastPrinted>
  <dcterms:created xsi:type="dcterms:W3CDTF">2018-09-04T12:56:00Z</dcterms:created>
  <dcterms:modified xsi:type="dcterms:W3CDTF">2018-10-25T13:44:00Z</dcterms:modified>
</cp:coreProperties>
</file>