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683FE4" w:rsidRDefault="00173A69" w:rsidP="00691BBD">
      <w:pPr>
        <w:spacing w:after="0" w:line="36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683FE4">
        <w:rPr>
          <w:rFonts w:ascii="GHEA Grapalat" w:hAnsi="GHEA Grapalat"/>
          <w:sz w:val="20"/>
          <w:szCs w:val="20"/>
        </w:rPr>
        <w:t>Պատրաստված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է </w:t>
      </w:r>
      <w:r w:rsidR="00EE330C" w:rsidRPr="00683FE4">
        <w:rPr>
          <w:rFonts w:ascii="GHEA Grapalat" w:hAnsi="GHEA Grapalat"/>
          <w:sz w:val="20"/>
          <w:szCs w:val="20"/>
        </w:rPr>
        <w:t xml:space="preserve">ՀՀ </w:t>
      </w:r>
      <w:r w:rsidRPr="00683FE4">
        <w:rPr>
          <w:rFonts w:ascii="GHEA Grapalat" w:hAnsi="GHEA Grapalat"/>
          <w:sz w:val="20"/>
          <w:szCs w:val="20"/>
        </w:rPr>
        <w:t xml:space="preserve">ԱԺ </w:t>
      </w:r>
      <w:proofErr w:type="spellStart"/>
      <w:r w:rsidRPr="00683FE4">
        <w:rPr>
          <w:rFonts w:ascii="GHEA Grapalat" w:hAnsi="GHEA Grapalat"/>
          <w:sz w:val="20"/>
          <w:szCs w:val="20"/>
        </w:rPr>
        <w:t>բյուջետային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գրասենյակի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կողմից</w:t>
      </w:r>
      <w:proofErr w:type="spellEnd"/>
    </w:p>
    <w:p w:rsidR="00173A69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83FE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B33D18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proofErr w:type="spellStart"/>
      <w:proofErr w:type="gramStart"/>
      <w:r w:rsidRPr="00683FE4">
        <w:rPr>
          <w:rFonts w:ascii="GHEA Grapalat" w:eastAsia="Times New Roman" w:hAnsi="GHEA Grapalat" w:cs="Arial"/>
        </w:rPr>
        <w:t>Հայաստանի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Հանրապետության</w:t>
      </w:r>
      <w:proofErr w:type="spellEnd"/>
      <w:r w:rsidRPr="00683FE4">
        <w:rPr>
          <w:rFonts w:ascii="GHEA Grapalat" w:eastAsia="Times New Roman" w:hAnsi="GHEA Grapalat" w:cs="Arial"/>
        </w:rPr>
        <w:t xml:space="preserve"> 2014-2017 </w:t>
      </w:r>
      <w:proofErr w:type="spellStart"/>
      <w:r w:rsidRPr="00683FE4">
        <w:rPr>
          <w:rFonts w:ascii="GHEA Grapalat" w:eastAsia="Times New Roman" w:hAnsi="GHEA Grapalat" w:cs="Arial"/>
        </w:rPr>
        <w:t>թթ</w:t>
      </w:r>
      <w:proofErr w:type="spellEnd"/>
      <w:r w:rsidRPr="00683FE4">
        <w:rPr>
          <w:rFonts w:ascii="GHEA Grapalat" w:eastAsia="Times New Roman" w:hAnsi="GHEA Grapalat" w:cs="Arial"/>
        </w:rPr>
        <w:t>.</w:t>
      </w:r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proofErr w:type="gramStart"/>
      <w:r w:rsidRPr="00683FE4">
        <w:rPr>
          <w:rFonts w:ascii="GHEA Grapalat" w:eastAsia="Times New Roman" w:hAnsi="GHEA Grapalat" w:cs="Arial"/>
        </w:rPr>
        <w:t>պետական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բյուջեների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եկամուտների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վերաբերյալ</w:t>
      </w:r>
      <w:proofErr w:type="spellEnd"/>
      <w:r w:rsidRPr="00683FE4">
        <w:rPr>
          <w:rFonts w:ascii="GHEA Grapalat" w:eastAsia="Times New Roman" w:hAnsi="GHEA Grapalat" w:cs="Arial"/>
        </w:rPr>
        <w:t xml:space="preserve"> (</w:t>
      </w:r>
      <w:proofErr w:type="spellStart"/>
      <w:r w:rsidRPr="00683FE4">
        <w:rPr>
          <w:rFonts w:ascii="GHEA Grapalat" w:eastAsia="Times New Roman" w:hAnsi="GHEA Grapalat" w:cs="Arial"/>
        </w:rPr>
        <w:t>հունվար-</w:t>
      </w:r>
      <w:r w:rsidR="006E7C57">
        <w:rPr>
          <w:rFonts w:ascii="GHEA Grapalat" w:eastAsia="Times New Roman" w:hAnsi="GHEA Grapalat" w:cs="Arial"/>
        </w:rPr>
        <w:t>հոկտեմբեր</w:t>
      </w:r>
      <w:proofErr w:type="spellEnd"/>
      <w:r w:rsidRPr="00683FE4">
        <w:rPr>
          <w:rFonts w:ascii="GHEA Grapalat" w:eastAsia="Times New Roman" w:hAnsi="GHEA Grapalat" w:cs="Arial"/>
        </w:rPr>
        <w:t>)`</w:t>
      </w:r>
    </w:p>
    <w:p w:rsidR="00691BBD" w:rsidRPr="00683FE4" w:rsidRDefault="006E7C57" w:rsidP="005B32B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>
        <w:rPr>
          <w:rFonts w:ascii="GHEA Grapalat" w:eastAsia="Times New Roman" w:hAnsi="GHEA Grapalat" w:cs="Arial"/>
        </w:rPr>
        <w:t xml:space="preserve">  </w:t>
      </w:r>
      <w:proofErr w:type="spellStart"/>
      <w:proofErr w:type="gramStart"/>
      <w:r w:rsidR="00D72992" w:rsidRPr="00683FE4">
        <w:rPr>
          <w:rFonts w:ascii="GHEA Grapalat" w:eastAsia="Times New Roman" w:hAnsi="GHEA Grapalat" w:cs="Arial"/>
        </w:rPr>
        <w:t>գ</w:t>
      </w:r>
      <w:r w:rsidR="00691BBD" w:rsidRPr="00683FE4">
        <w:rPr>
          <w:rFonts w:ascii="GHEA Grapalat" w:eastAsia="Times New Roman" w:hAnsi="GHEA Grapalat" w:cs="Arial"/>
        </w:rPr>
        <w:t>ծապատկերներով</w:t>
      </w:r>
      <w:proofErr w:type="spellEnd"/>
      <w:proofErr w:type="gramEnd"/>
      <w:r w:rsidR="005B32B8" w:rsidRPr="00683FE4">
        <w:rPr>
          <w:rFonts w:ascii="GHEA Grapalat" w:eastAsia="Times New Roman" w:hAnsi="GHEA Grapalat" w:cs="Arial"/>
        </w:rPr>
        <w:t xml:space="preserve">                                                          </w:t>
      </w:r>
    </w:p>
    <w:p w:rsidR="00B71918" w:rsidRPr="00683FE4" w:rsidRDefault="00B71918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173A69" w:rsidRPr="00683FE4" w:rsidRDefault="008E60C4">
      <w:pPr>
        <w:rPr>
          <w:rFonts w:ascii="GHEA Grapalat" w:hAnsi="GHEA Grapalat"/>
        </w:rPr>
      </w:pPr>
      <w:r w:rsidRPr="008E60C4">
        <w:rPr>
          <w:rFonts w:ascii="GHEA Grapalat" w:hAnsi="GHEA Grapalat"/>
          <w:noProof/>
        </w:rPr>
        <w:drawing>
          <wp:inline distT="0" distB="0" distL="0" distR="0">
            <wp:extent cx="4648200" cy="2981325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58408A">
        <w:rPr>
          <w:rFonts w:ascii="GHEA Grapalat" w:hAnsi="GHEA Grapalat"/>
          <w:noProof/>
        </w:rPr>
        <w:t xml:space="preserve"> </w:t>
      </w:r>
      <w:r w:rsidR="000872D6" w:rsidRPr="000872D6">
        <w:rPr>
          <w:rFonts w:ascii="GHEA Grapalat" w:hAnsi="GHEA Grapalat"/>
          <w:noProof/>
        </w:rPr>
        <w:drawing>
          <wp:inline distT="0" distB="0" distL="0" distR="0">
            <wp:extent cx="4638675" cy="29813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918" w:rsidRPr="00683FE4" w:rsidRDefault="00E54B68">
      <w:pPr>
        <w:rPr>
          <w:rFonts w:ascii="GHEA Grapalat" w:hAnsi="GHEA Grapalat" w:cs="Sylfaen"/>
        </w:rPr>
      </w:pPr>
      <w:r w:rsidRPr="00E54B68">
        <w:rPr>
          <w:rFonts w:ascii="GHEA Grapalat" w:hAnsi="GHEA Grapalat" w:cs="Sylfaen"/>
        </w:rPr>
        <w:drawing>
          <wp:inline distT="0" distB="0" distL="0" distR="0">
            <wp:extent cx="4648200" cy="274320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8408A">
        <w:rPr>
          <w:rFonts w:ascii="GHEA Grapalat" w:hAnsi="GHEA Grapalat" w:cs="Sylfaen"/>
        </w:rPr>
        <w:t xml:space="preserve"> </w:t>
      </w:r>
      <w:r w:rsidR="009E53E4" w:rsidRPr="009E53E4">
        <w:rPr>
          <w:rFonts w:ascii="GHEA Grapalat" w:hAnsi="GHEA Grapalat" w:cs="Sylfaen"/>
          <w:noProof/>
        </w:rPr>
        <w:drawing>
          <wp:inline distT="0" distB="0" distL="0" distR="0">
            <wp:extent cx="4638675" cy="2743200"/>
            <wp:effectExtent l="19050" t="0" r="9525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DF0" w:rsidRPr="00683FE4" w:rsidRDefault="00B71918" w:rsidP="00B71918">
      <w:pPr>
        <w:spacing w:after="0" w:line="240" w:lineRule="auto"/>
        <w:rPr>
          <w:rFonts w:ascii="GHEA Grapalat" w:hAnsi="GHEA Grapalat"/>
          <w:sz w:val="16"/>
          <w:szCs w:val="16"/>
        </w:rPr>
      </w:pP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Տեղեկատվության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աղբյուրներ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են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հանդիսացել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ֆինանսների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ինտերնետային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կայքում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հրապարակված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="005A7921" w:rsidRPr="00683FE4">
        <w:rPr>
          <w:rFonts w:ascii="GHEA Grapalat" w:hAnsi="GHEA Grapalat"/>
          <w:b/>
          <w:sz w:val="16"/>
          <w:szCs w:val="16"/>
        </w:rPr>
        <w:t xml:space="preserve">2014-2017 </w:t>
      </w:r>
      <w:proofErr w:type="spellStart"/>
      <w:r w:rsidR="005A7921" w:rsidRPr="00683FE4">
        <w:rPr>
          <w:rFonts w:ascii="GHEA Grapalat" w:hAnsi="GHEA Grapalat" w:cs="Sylfaen"/>
          <w:b/>
          <w:sz w:val="16"/>
          <w:szCs w:val="16"/>
        </w:rPr>
        <w:t>թթ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</w:t>
      </w:r>
      <w:r w:rsidR="005A7921" w:rsidRPr="00683FE4">
        <w:rPr>
          <w:rFonts w:ascii="GHEA Grapalat" w:hAnsi="GHEA Grapalat" w:cs="Sylfaen"/>
          <w:b/>
          <w:sz w:val="16"/>
          <w:szCs w:val="16"/>
        </w:rPr>
        <w:t>ներ</w:t>
      </w:r>
      <w:r w:rsidRPr="00683FE4">
        <w:rPr>
          <w:rFonts w:ascii="GHEA Grapalat" w:hAnsi="GHEA Grapalat" w:cs="Sylfaen"/>
          <w:b/>
          <w:sz w:val="16"/>
          <w:szCs w:val="16"/>
        </w:rPr>
        <w:t>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կատարման</w:t>
      </w:r>
      <w:proofErr w:type="spellEnd"/>
      <w:r w:rsidR="00657CA8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AD3113">
        <w:rPr>
          <w:rFonts w:ascii="GHEA Grapalat" w:hAnsi="GHEA Grapalat" w:cs="Sylfaen"/>
          <w:b/>
          <w:sz w:val="16"/>
          <w:szCs w:val="16"/>
        </w:rPr>
        <w:t>հոկտեմբեր</w:t>
      </w:r>
      <w:proofErr w:type="spellEnd"/>
      <w:r w:rsidR="00D61722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ամսվա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ամփոփ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բնութագրերը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Pr="00683FE4">
        <w:rPr>
          <w:rFonts w:ascii="GHEA Grapalat" w:hAnsi="GHEA Grapalat" w:cs="Sylfaen"/>
          <w:b/>
          <w:sz w:val="16"/>
          <w:szCs w:val="16"/>
        </w:rPr>
        <w:t>և</w:t>
      </w:r>
      <w:r w:rsidRPr="00683FE4">
        <w:rPr>
          <w:rFonts w:ascii="GHEA Grapalat" w:hAnsi="GHEA Grapalat"/>
          <w:b/>
          <w:sz w:val="16"/>
          <w:szCs w:val="16"/>
        </w:rPr>
        <w:t xml:space="preserve"> «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2017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կատարումն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ապահովող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միջոցառումների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մասին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»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կառավարության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29.12.2016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թիվ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1313-</w:t>
      </w:r>
      <w:r w:rsidRPr="00683FE4">
        <w:rPr>
          <w:rFonts w:ascii="GHEA Grapalat" w:hAnsi="GHEA Grapalat" w:cs="Sylfaen"/>
          <w:b/>
          <w:sz w:val="16"/>
          <w:szCs w:val="16"/>
        </w:rPr>
        <w:t>Ն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որոշումը</w:t>
      </w:r>
      <w:proofErr w:type="spellEnd"/>
    </w:p>
    <w:sectPr w:rsidR="00D25DF0" w:rsidRPr="00683FE4" w:rsidSect="00751C9B">
      <w:pgSz w:w="15840" w:h="12240" w:orient="landscape"/>
      <w:pgMar w:top="270" w:right="18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0686A"/>
    <w:rsid w:val="000872D6"/>
    <w:rsid w:val="000B64F2"/>
    <w:rsid w:val="00113D8C"/>
    <w:rsid w:val="00116141"/>
    <w:rsid w:val="0016256A"/>
    <w:rsid w:val="00173A69"/>
    <w:rsid w:val="00180890"/>
    <w:rsid w:val="0019261D"/>
    <w:rsid w:val="0019674F"/>
    <w:rsid w:val="001F75CD"/>
    <w:rsid w:val="00256212"/>
    <w:rsid w:val="00283215"/>
    <w:rsid w:val="00291EAC"/>
    <w:rsid w:val="002C450F"/>
    <w:rsid w:val="003C04F6"/>
    <w:rsid w:val="00453866"/>
    <w:rsid w:val="00510552"/>
    <w:rsid w:val="00526BC2"/>
    <w:rsid w:val="005768CB"/>
    <w:rsid w:val="00577BCF"/>
    <w:rsid w:val="0058408A"/>
    <w:rsid w:val="005A7921"/>
    <w:rsid w:val="005B32B8"/>
    <w:rsid w:val="005E0FD9"/>
    <w:rsid w:val="005F01F7"/>
    <w:rsid w:val="00657CA8"/>
    <w:rsid w:val="00683FE4"/>
    <w:rsid w:val="00691BBD"/>
    <w:rsid w:val="006A139C"/>
    <w:rsid w:val="006A7C1F"/>
    <w:rsid w:val="006E7C57"/>
    <w:rsid w:val="007112B3"/>
    <w:rsid w:val="00743126"/>
    <w:rsid w:val="00751C9B"/>
    <w:rsid w:val="007833A4"/>
    <w:rsid w:val="007A30C5"/>
    <w:rsid w:val="007E157D"/>
    <w:rsid w:val="008348A9"/>
    <w:rsid w:val="00845E5A"/>
    <w:rsid w:val="008E60C4"/>
    <w:rsid w:val="009056F8"/>
    <w:rsid w:val="0093464C"/>
    <w:rsid w:val="00934C96"/>
    <w:rsid w:val="009E53E4"/>
    <w:rsid w:val="00A31794"/>
    <w:rsid w:val="00A54DB0"/>
    <w:rsid w:val="00A6161B"/>
    <w:rsid w:val="00A855AE"/>
    <w:rsid w:val="00AA5EF0"/>
    <w:rsid w:val="00AD3113"/>
    <w:rsid w:val="00AE615B"/>
    <w:rsid w:val="00B33D18"/>
    <w:rsid w:val="00B53F72"/>
    <w:rsid w:val="00B71918"/>
    <w:rsid w:val="00BA4DE7"/>
    <w:rsid w:val="00C5174D"/>
    <w:rsid w:val="00C5622D"/>
    <w:rsid w:val="00C90DAB"/>
    <w:rsid w:val="00CA6F13"/>
    <w:rsid w:val="00CB7BF1"/>
    <w:rsid w:val="00CE73D3"/>
    <w:rsid w:val="00CF72D9"/>
    <w:rsid w:val="00D231D5"/>
    <w:rsid w:val="00D25DF0"/>
    <w:rsid w:val="00D61722"/>
    <w:rsid w:val="00D72992"/>
    <w:rsid w:val="00DC6619"/>
    <w:rsid w:val="00E54B68"/>
    <w:rsid w:val="00E91C9A"/>
    <w:rsid w:val="00ED0557"/>
    <w:rsid w:val="00EE330C"/>
    <w:rsid w:val="00F07CF6"/>
    <w:rsid w:val="00F73DAE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oktember\Hoktember%202017-%20&#1333;&#1391;&#1377;&#1396;&#1400;&#1410;&#1407;&#1398;&#1381;&#1408;%20-%20&#1379;&#1390;&#1377;&#1402;&#1377;&#1407;&#1391;&#1381;&#1408;&#1398;&#1381;&#140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oktember\Hoktember%202017-%20&#1333;&#1391;&#1377;&#1396;&#1400;&#1410;&#1407;&#1398;&#1381;&#1408;%20-%20&#1379;&#1390;&#1377;&#1402;&#1377;&#1407;&#1391;&#1381;&#1408;&#1398;&#1381;&#1408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oktember\Hoktember%202017-%20&#1333;&#1391;&#1377;&#1396;&#1400;&#1410;&#1407;&#1398;&#1381;&#1408;%20-%20&#1379;&#1390;&#1377;&#1402;&#1377;&#1407;&#1391;&#1381;&#1408;&#1398;&#1381;&#140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oktember\Hoktember%202017-%20&#1333;&#1391;&#1377;&#1396;&#1400;&#1410;&#1407;&#1398;&#1381;&#1408;%20-%20&#1379;&#1390;&#1377;&#1402;&#1377;&#1407;&#1391;&#1381;&#1408;&#1398;&#1381;&#140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մլրդ դրամ</a:t>
            </a:r>
          </a:p>
        </c:rich>
      </c:tx>
      <c:layout>
        <c:manualLayout>
          <c:xMode val="edge"/>
          <c:yMode val="edge"/>
          <c:x val="0.42462114366851683"/>
          <c:y val="1.1092383420123599E-3"/>
        </c:manualLayout>
      </c:layout>
    </c:title>
    <c:plotArea>
      <c:layout>
        <c:manualLayout>
          <c:layoutTarget val="inner"/>
          <c:xMode val="edge"/>
          <c:yMode val="edge"/>
          <c:x val="1.4162041220257306E-2"/>
          <c:y val="0.25028770764676778"/>
          <c:w val="0.97440794285960153"/>
          <c:h val="0.63767116969803705"/>
        </c:manualLayout>
      </c:layout>
      <c:barChart>
        <c:barDir val="col"/>
        <c:grouping val="clustered"/>
        <c:ser>
          <c:idx val="0"/>
          <c:order val="0"/>
          <c:tx>
            <c:strRef>
              <c:f>Ընդամենը!$A$14</c:f>
              <c:strCache>
                <c:ptCount val="1"/>
                <c:pt idx="0">
                  <c:v>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 (տարեկան (հաստատված))</c:v>
                </c:pt>
                <c:pt idx="1">
                  <c:v>2017թ. (հունվար-հոկտեմբեր(փաստացի))</c:v>
                </c:pt>
              </c:strCache>
            </c:strRef>
          </c:cat>
          <c:val>
            <c:numRef>
              <c:f>Ընդամենը!$B$14:$C$14</c:f>
              <c:numCache>
                <c:formatCode>#,##0.0;[Red]#,##0.0</c:formatCode>
                <c:ptCount val="2"/>
                <c:pt idx="0">
                  <c:v>1210</c:v>
                </c:pt>
                <c:pt idx="1">
                  <c:v>994.5</c:v>
                </c:pt>
              </c:numCache>
            </c:numRef>
          </c:val>
        </c:ser>
        <c:ser>
          <c:idx val="1"/>
          <c:order val="1"/>
          <c:tx>
            <c:strRef>
              <c:f>Ընդամենը!$A$15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 (տարեկան (հաստատված))</c:v>
                </c:pt>
                <c:pt idx="1">
                  <c:v>2017թ. (հունվար-հոկտեմբեր(փաստացի))</c:v>
                </c:pt>
              </c:strCache>
            </c:strRef>
          </c:cat>
          <c:val>
            <c:numRef>
              <c:f>Ընդամենը!$B$15:$C$15</c:f>
              <c:numCache>
                <c:formatCode>#,##0.0;[Red]#,##0.0</c:formatCode>
                <c:ptCount val="2"/>
                <c:pt idx="0">
                  <c:v>1135</c:v>
                </c:pt>
                <c:pt idx="1">
                  <c:v>937</c:v>
                </c:pt>
              </c:numCache>
            </c:numRef>
          </c:val>
        </c:ser>
        <c:ser>
          <c:idx val="2"/>
          <c:order val="2"/>
          <c:tx>
            <c:strRef>
              <c:f>Ընդամենը!$A$16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 (տարեկան (հաստատված))</c:v>
                </c:pt>
                <c:pt idx="1">
                  <c:v>2017թ. (հունվար-հոկտեմբեր(փաստացի))</c:v>
                </c:pt>
              </c:strCache>
            </c:strRef>
          </c:cat>
          <c:val>
            <c:numRef>
              <c:f>Ընդամենը!$B$16:$C$16</c:f>
              <c:numCache>
                <c:formatCode>#,##0.0;[Red]#,##0.0</c:formatCode>
                <c:ptCount val="2"/>
                <c:pt idx="0">
                  <c:v>30.9</c:v>
                </c:pt>
                <c:pt idx="1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Ընդամենը!$A$17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 (տարեկան (հաստատված))</c:v>
                </c:pt>
                <c:pt idx="1">
                  <c:v>2017թ. (հունվար-հոկտեմբեր(փաստացի))</c:v>
                </c:pt>
              </c:strCache>
            </c:strRef>
          </c:cat>
          <c:val>
            <c:numRef>
              <c:f>Ընդամենը!$B$17:$C$17</c:f>
              <c:numCache>
                <c:formatCode>#,##0.0;[Red]#,##0.0</c:formatCode>
                <c:ptCount val="2"/>
                <c:pt idx="0">
                  <c:v>44.1</c:v>
                </c:pt>
                <c:pt idx="1">
                  <c:v>49.3</c:v>
                </c:pt>
              </c:numCache>
            </c:numRef>
          </c:val>
        </c:ser>
        <c:dLbls>
          <c:showVal val="1"/>
        </c:dLbls>
        <c:overlap val="-25"/>
        <c:axId val="121427072"/>
        <c:axId val="121428608"/>
      </c:barChart>
      <c:catAx>
        <c:axId val="121427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428608"/>
        <c:crosses val="autoZero"/>
        <c:auto val="1"/>
        <c:lblAlgn val="ctr"/>
        <c:lblOffset val="100"/>
      </c:catAx>
      <c:valAx>
        <c:axId val="121428608"/>
        <c:scaling>
          <c:orientation val="minMax"/>
        </c:scaling>
        <c:delete val="1"/>
        <c:axPos val="l"/>
        <c:numFmt formatCode="#,##0.0;[Red]#,##0.0" sourceLinked="1"/>
        <c:tickLblPos val="nextTo"/>
        <c:crossAx val="121427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1268448001376875E-2"/>
          <c:y val="5.9809983815920793E-2"/>
          <c:w val="0.98543197725284326"/>
          <c:h val="0.23326844561096546"/>
        </c:manualLayout>
      </c:layout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1000" b="1">
                <a:latin typeface="GHEA Grapalat" pitchFamily="50" charset="0"/>
              </a:defRPr>
            </a:pPr>
            <a:r>
              <a:rPr lang="en-US" sz="1000" b="1">
                <a:latin typeface="GHEA Grapalat" pitchFamily="50" charset="0"/>
              </a:rPr>
              <a:t>մլրդ</a:t>
            </a:r>
            <a:r>
              <a:rPr lang="en-US" sz="1000" b="1" baseline="0">
                <a:latin typeface="GHEA Grapalat" pitchFamily="50" charset="0"/>
              </a:rPr>
              <a:t> դրամ</a:t>
            </a:r>
            <a:endParaRPr lang="en-US" sz="1000" b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41726991443142775"/>
          <c:y val="0"/>
        </c:manualLayout>
      </c:layout>
    </c:title>
    <c:plotArea>
      <c:layout>
        <c:manualLayout>
          <c:layoutTarget val="inner"/>
          <c:xMode val="edge"/>
          <c:yMode val="edge"/>
          <c:x val="2.1680216802168036E-2"/>
          <c:y val="0.20926702053617113"/>
          <c:w val="0.96747967479674801"/>
          <c:h val="0.66771552916907795"/>
        </c:manualLayout>
      </c:layout>
      <c:barChart>
        <c:barDir val="col"/>
        <c:grouping val="clustered"/>
        <c:ser>
          <c:idx val="0"/>
          <c:order val="0"/>
          <c:tx>
            <c:strRef>
              <c:f>Հարկեր!$B$1</c:f>
              <c:strCache>
                <c:ptCount val="1"/>
                <c:pt idx="0">
                  <c:v>2014թ.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Հարկեր!$B$2:$B$7</c:f>
              <c:numCache>
                <c:formatCode>#,##0.0;[Red]#,##0.0</c:formatCode>
                <c:ptCount val="6"/>
                <c:pt idx="0">
                  <c:v>369.7</c:v>
                </c:pt>
                <c:pt idx="1">
                  <c:v>39.800000000000004</c:v>
                </c:pt>
                <c:pt idx="2">
                  <c:v>94.2</c:v>
                </c:pt>
                <c:pt idx="3">
                  <c:v>234.5</c:v>
                </c:pt>
                <c:pt idx="4">
                  <c:v>41.8</c:v>
                </c:pt>
                <c:pt idx="5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Հարկեր!$C$1</c:f>
              <c:strCache>
                <c:ptCount val="1"/>
                <c:pt idx="0">
                  <c:v>2015թ.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Հարկեր!$C$2:$C$7</c:f>
              <c:numCache>
                <c:formatCode>#,##0.0;[Red]#,##0.0</c:formatCode>
                <c:ptCount val="6"/>
                <c:pt idx="0">
                  <c:v>351.7</c:v>
                </c:pt>
                <c:pt idx="1">
                  <c:v>39.800000000000004</c:v>
                </c:pt>
                <c:pt idx="2">
                  <c:v>86.8</c:v>
                </c:pt>
                <c:pt idx="3">
                  <c:v>252.3</c:v>
                </c:pt>
                <c:pt idx="4">
                  <c:v>51.7</c:v>
                </c:pt>
                <c:pt idx="5">
                  <c:v>2.6</c:v>
                </c:pt>
              </c:numCache>
            </c:numRef>
          </c:val>
        </c:ser>
        <c:ser>
          <c:idx val="2"/>
          <c:order val="2"/>
          <c:tx>
            <c:strRef>
              <c:f>Հարկեր!$D$1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Հարկեր!$D$2:$D$7</c:f>
              <c:numCache>
                <c:formatCode>#,##0.0;[Red]#,##0.0</c:formatCode>
                <c:ptCount val="6"/>
                <c:pt idx="0">
                  <c:v>313.89999999999981</c:v>
                </c:pt>
                <c:pt idx="1">
                  <c:v>47</c:v>
                </c:pt>
                <c:pt idx="2">
                  <c:v>107.4</c:v>
                </c:pt>
                <c:pt idx="3">
                  <c:v>263.89999999999981</c:v>
                </c:pt>
                <c:pt idx="4">
                  <c:v>45.1</c:v>
                </c:pt>
                <c:pt idx="5">
                  <c:v>2.6</c:v>
                </c:pt>
              </c:numCache>
            </c:numRef>
          </c:val>
        </c:ser>
        <c:ser>
          <c:idx val="3"/>
          <c:order val="3"/>
          <c:tx>
            <c:strRef>
              <c:f>Հարկեր!$E$1</c:f>
              <c:strCache>
                <c:ptCount val="1"/>
                <c:pt idx="0">
                  <c:v>2017թ.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Հարկեր!$E$2:$E$7</c:f>
              <c:numCache>
                <c:formatCode>#,##0.0;[Red]#,##0.0</c:formatCode>
                <c:ptCount val="6"/>
                <c:pt idx="0">
                  <c:v>326.5</c:v>
                </c:pt>
                <c:pt idx="1">
                  <c:v>64.400000000000006</c:v>
                </c:pt>
                <c:pt idx="2">
                  <c:v>94.3</c:v>
                </c:pt>
                <c:pt idx="3">
                  <c:v>275.7</c:v>
                </c:pt>
                <c:pt idx="4">
                  <c:v>58.8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overlap val="-25"/>
        <c:axId val="93591424"/>
        <c:axId val="93592960"/>
      </c:barChart>
      <c:catAx>
        <c:axId val="93591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592960"/>
        <c:crosses val="autoZero"/>
        <c:auto val="1"/>
        <c:lblAlgn val="ctr"/>
        <c:lblOffset val="100"/>
      </c:catAx>
      <c:valAx>
        <c:axId val="93592960"/>
        <c:scaling>
          <c:orientation val="minMax"/>
        </c:scaling>
        <c:delete val="1"/>
        <c:axPos val="l"/>
        <c:numFmt formatCode="#,##0.0;[Red]#,##0.0" sourceLinked="1"/>
        <c:tickLblPos val="nextTo"/>
        <c:crossAx val="93591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7158397883191432"/>
          <c:y val="6.8605066539206547E-2"/>
          <c:w val="0.48163241026283277"/>
          <c:h val="7.1759033315723794E-2"/>
        </c:manualLayout>
      </c:layout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>
        <c:manualLayout>
          <c:layoutTarget val="inner"/>
          <c:xMode val="edge"/>
          <c:yMode val="edge"/>
          <c:x val="3.0054644808743175E-2"/>
          <c:y val="0.19828922426363368"/>
          <c:w val="0.93989071038251382"/>
          <c:h val="0.60417213473315834"/>
        </c:manualLayout>
      </c:layout>
      <c:barChart>
        <c:barDir val="col"/>
        <c:grouping val="clustered"/>
        <c:ser>
          <c:idx val="0"/>
          <c:order val="0"/>
          <c:tx>
            <c:strRef>
              <c:f>'Հարկեր 2'!$B$1</c:f>
              <c:strCache>
                <c:ptCount val="1"/>
                <c:pt idx="0">
                  <c:v>2014թ.  </c:v>
                </c:pt>
              </c:strCache>
            </c:strRef>
          </c:tx>
          <c:dLbls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2'!$B$2:$B$6</c:f>
              <c:numCache>
                <c:formatCode>#,##0.0;[Red]#,##0.0</c:formatCode>
                <c:ptCount val="5"/>
                <c:pt idx="0">
                  <c:v>22.9</c:v>
                </c:pt>
                <c:pt idx="1">
                  <c:v>13.5</c:v>
                </c:pt>
                <c:pt idx="2">
                  <c:v>1.8</c:v>
                </c:pt>
                <c:pt idx="3">
                  <c:v>19.399999999999999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'Հարկեր 2'!$C$1</c:f>
              <c:strCache>
                <c:ptCount val="1"/>
                <c:pt idx="0">
                  <c:v>2015թ.  </c:v>
                </c:pt>
              </c:strCache>
            </c:strRef>
          </c:tx>
          <c:dLbls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2'!$C$2:$C$6</c:f>
              <c:numCache>
                <c:formatCode>#,##0.0;[Red]#,##0.0</c:formatCode>
                <c:ptCount val="5"/>
                <c:pt idx="0">
                  <c:v>26.2</c:v>
                </c:pt>
                <c:pt idx="1">
                  <c:v>9.9</c:v>
                </c:pt>
                <c:pt idx="2">
                  <c:v>8.6</c:v>
                </c:pt>
                <c:pt idx="3">
                  <c:v>24.9</c:v>
                </c:pt>
                <c:pt idx="4">
                  <c:v>26.4</c:v>
                </c:pt>
              </c:numCache>
            </c:numRef>
          </c:val>
        </c:ser>
        <c:ser>
          <c:idx val="2"/>
          <c:order val="2"/>
          <c:tx>
            <c:strRef>
              <c:f>'Հարկեր 2'!$D$1</c:f>
              <c:strCache>
                <c:ptCount val="1"/>
                <c:pt idx="0">
                  <c:v>2016թ.</c:v>
                </c:pt>
              </c:strCache>
            </c:strRef>
          </c:tx>
          <c:dLbls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2'!$D$2:$D$6</c:f>
              <c:numCache>
                <c:formatCode>#,##0.0;[Red]#,##0.0</c:formatCode>
                <c:ptCount val="5"/>
                <c:pt idx="0">
                  <c:v>23</c:v>
                </c:pt>
                <c:pt idx="1">
                  <c:v>12.7</c:v>
                </c:pt>
                <c:pt idx="2">
                  <c:v>10.6</c:v>
                </c:pt>
                <c:pt idx="3">
                  <c:v>25.6</c:v>
                </c:pt>
                <c:pt idx="4">
                  <c:v>26.8</c:v>
                </c:pt>
              </c:numCache>
            </c:numRef>
          </c:val>
        </c:ser>
        <c:ser>
          <c:idx val="3"/>
          <c:order val="3"/>
          <c:tx>
            <c:strRef>
              <c:f>'Հարկեր 2'!$E$1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2'!$E$2:$E$6</c:f>
              <c:numCache>
                <c:formatCode>#,##0.0;[Red]#,##0.0</c:formatCode>
                <c:ptCount val="5"/>
                <c:pt idx="0">
                  <c:v>34</c:v>
                </c:pt>
                <c:pt idx="1">
                  <c:v>15.4</c:v>
                </c:pt>
                <c:pt idx="2">
                  <c:v>12.5</c:v>
                </c:pt>
                <c:pt idx="3">
                  <c:v>24</c:v>
                </c:pt>
                <c:pt idx="4">
                  <c:v>28.4</c:v>
                </c:pt>
              </c:numCache>
            </c:numRef>
          </c:val>
        </c:ser>
        <c:dLbls>
          <c:showVal val="1"/>
        </c:dLbls>
        <c:overlap val="-25"/>
        <c:axId val="93634560"/>
        <c:axId val="93636096"/>
      </c:barChart>
      <c:catAx>
        <c:axId val="93634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636096"/>
        <c:crosses val="autoZero"/>
        <c:auto val="1"/>
        <c:lblAlgn val="ctr"/>
        <c:lblOffset val="100"/>
      </c:catAx>
      <c:valAx>
        <c:axId val="93636096"/>
        <c:scaling>
          <c:orientation val="minMax"/>
        </c:scaling>
        <c:delete val="1"/>
        <c:axPos val="l"/>
        <c:numFmt formatCode="#,##0.0;[Red]#,##0.0" sourceLinked="1"/>
        <c:tickLblPos val="nextTo"/>
        <c:crossAx val="93634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8895056150768056E-2"/>
          <c:y val="7.870370370370372E-2"/>
          <c:w val="0.79576201540381231"/>
          <c:h val="7.8515602216389618E-2"/>
        </c:manualLayout>
      </c:layout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մլրդ դրամ</a:t>
            </a:r>
          </a:p>
        </c:rich>
      </c:tx>
      <c:layout>
        <c:manualLayout>
          <c:xMode val="edge"/>
          <c:yMode val="edge"/>
          <c:x val="0.42574937886357639"/>
          <c:y val="0"/>
        </c:manualLayout>
      </c:layout>
    </c:title>
    <c:plotArea>
      <c:layout>
        <c:manualLayout>
          <c:layoutTarget val="inner"/>
          <c:xMode val="edge"/>
          <c:yMode val="edge"/>
          <c:x val="0"/>
          <c:y val="0.18143372703412081"/>
          <c:w val="0.98357289527720693"/>
          <c:h val="0.6654644211140277"/>
        </c:manualLayout>
      </c:layout>
      <c:barChart>
        <c:barDir val="col"/>
        <c:grouping val="clustered"/>
        <c:ser>
          <c:idx val="0"/>
          <c:order val="0"/>
          <c:tx>
            <c:strRef>
              <c:f>Այլ!$B$1</c:f>
              <c:strCache>
                <c:ptCount val="1"/>
                <c:pt idx="0">
                  <c:v>2014թ.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Այլ!$A$2:$A$4</c:f>
              <c:strCache>
                <c:ptCount val="3"/>
                <c:pt idx="0">
                  <c:v>ՊԱՇՏՈՆԱԿԱՆ ԴՐԱՄԱՇՆՈՐՀՆԵՐ</c:v>
                </c:pt>
                <c:pt idx="1">
                  <c:v>ԱՅԼ ԵԿԱՄՈՒՏՆԵՐ</c:v>
                </c:pt>
                <c:pt idx="2">
                  <c:v>ԱՐՏԱԲՅՈՒՋԵՏԱՅԻՆ ՄԻՋՈՑՆԵՐ-ԸՆԴԱՄԵՆԸ</c:v>
                </c:pt>
              </c:strCache>
            </c:strRef>
          </c:cat>
          <c:val>
            <c:numRef>
              <c:f>Այլ!$B$2:$B$4</c:f>
              <c:numCache>
                <c:formatCode>#,##0.0;[Red]#,##0.0</c:formatCode>
                <c:ptCount val="3"/>
                <c:pt idx="0">
                  <c:v>2.2999999999999998</c:v>
                </c:pt>
                <c:pt idx="1">
                  <c:v>51.9</c:v>
                </c:pt>
                <c:pt idx="2" formatCode="0.0;[Red]0.0">
                  <c:v>30</c:v>
                </c:pt>
              </c:numCache>
            </c:numRef>
          </c:val>
        </c:ser>
        <c:ser>
          <c:idx val="1"/>
          <c:order val="1"/>
          <c:tx>
            <c:strRef>
              <c:f>Այլ!$C$1</c:f>
              <c:strCache>
                <c:ptCount val="1"/>
                <c:pt idx="0">
                  <c:v>2015թ.  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Այլ!$A$2:$A$4</c:f>
              <c:strCache>
                <c:ptCount val="3"/>
                <c:pt idx="0">
                  <c:v>ՊԱՇՏՈՆԱԿԱՆ ԴՐԱՄԱՇՆՈՐՀՆԵՐ</c:v>
                </c:pt>
                <c:pt idx="1">
                  <c:v>ԱՅԼ ԵԿԱՄՈՒՏՆԵՐ</c:v>
                </c:pt>
                <c:pt idx="2">
                  <c:v>ԱՐՏԱԲՅՈՒՋԵՏԱՅԻՆ ՄԻՋՈՑՆԵՐ-ԸՆԴԱՄԵՆԸ</c:v>
                </c:pt>
              </c:strCache>
            </c:strRef>
          </c:cat>
          <c:val>
            <c:numRef>
              <c:f>Այլ!$C$2:$C$4</c:f>
              <c:numCache>
                <c:formatCode>#,##0.0;[Red]#,##0.0</c:formatCode>
                <c:ptCount val="3"/>
                <c:pt idx="0">
                  <c:v>4.4000000000000004</c:v>
                </c:pt>
                <c:pt idx="1">
                  <c:v>55.8</c:v>
                </c:pt>
                <c:pt idx="2" formatCode="0.0;[Red]0.0">
                  <c:v>29.4</c:v>
                </c:pt>
              </c:numCache>
            </c:numRef>
          </c:val>
        </c:ser>
        <c:ser>
          <c:idx val="2"/>
          <c:order val="2"/>
          <c:tx>
            <c:strRef>
              <c:f>Այլ!$D$1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Այլ!$A$2:$A$4</c:f>
              <c:strCache>
                <c:ptCount val="3"/>
                <c:pt idx="0">
                  <c:v>ՊԱՇՏՈՆԱԿԱՆ ԴՐԱՄԱՇՆՈՐՀՆԵՐ</c:v>
                </c:pt>
                <c:pt idx="1">
                  <c:v>ԱՅԼ ԵԿԱՄՈՒՏՆԵՐ</c:v>
                </c:pt>
                <c:pt idx="2">
                  <c:v>ԱՐՏԱԲՅՈՒՋԵՏԱՅԻՆ ՄԻՋՈՑՆԵՐ-ԸՆԴԱՄԵՆԸ</c:v>
                </c:pt>
              </c:strCache>
            </c:strRef>
          </c:cat>
          <c:val>
            <c:numRef>
              <c:f>Այլ!$D$2:$D$4</c:f>
              <c:numCache>
                <c:formatCode>#,##0.0;[Red]#,##0.0</c:formatCode>
                <c:ptCount val="3"/>
                <c:pt idx="0">
                  <c:v>6.8</c:v>
                </c:pt>
                <c:pt idx="1">
                  <c:v>45.7</c:v>
                </c:pt>
                <c:pt idx="2" formatCode="0.0;[Red]0.0">
                  <c:v>25.6</c:v>
                </c:pt>
              </c:numCache>
            </c:numRef>
          </c:val>
        </c:ser>
        <c:ser>
          <c:idx val="3"/>
          <c:order val="3"/>
          <c:tx>
            <c:strRef>
              <c:f>Այլ!$E$1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Այլ!$A$2:$A$4</c:f>
              <c:strCache>
                <c:ptCount val="3"/>
                <c:pt idx="0">
                  <c:v>ՊԱՇՏՈՆԱԿԱՆ ԴՐԱՄԱՇՆՈՐՀՆԵՐ</c:v>
                </c:pt>
                <c:pt idx="1">
                  <c:v>ԱՅԼ ԵԿԱՄՈՒՏՆԵՐ</c:v>
                </c:pt>
                <c:pt idx="2">
                  <c:v>ԱՐՏԱԲՅՈՒՋԵՏԱՅԻՆ ՄԻՋՈՑՆԵՐ-ԸՆԴԱՄԵՆԸ</c:v>
                </c:pt>
              </c:strCache>
            </c:strRef>
          </c:cat>
          <c:val>
            <c:numRef>
              <c:f>Այլ!$E$2:$E$4</c:f>
              <c:numCache>
                <c:formatCode>#,##0.0;[Red]#,##0.0</c:formatCode>
                <c:ptCount val="3"/>
                <c:pt idx="0">
                  <c:v>8.3000000000000007</c:v>
                </c:pt>
                <c:pt idx="1">
                  <c:v>49.3</c:v>
                </c:pt>
                <c:pt idx="2" formatCode="0.0_);\(0.0\)">
                  <c:v>25.2</c:v>
                </c:pt>
              </c:numCache>
            </c:numRef>
          </c:val>
        </c:ser>
        <c:dLbls>
          <c:showVal val="1"/>
        </c:dLbls>
        <c:overlap val="-25"/>
        <c:axId val="121696256"/>
        <c:axId val="121697792"/>
      </c:barChart>
      <c:catAx>
        <c:axId val="1216962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697792"/>
        <c:crosses val="autoZero"/>
        <c:auto val="1"/>
        <c:lblAlgn val="ctr"/>
        <c:lblOffset val="100"/>
      </c:catAx>
      <c:valAx>
        <c:axId val="121697792"/>
        <c:scaling>
          <c:orientation val="minMax"/>
        </c:scaling>
        <c:delete val="1"/>
        <c:axPos val="l"/>
        <c:numFmt formatCode="#,##0.0;[Red]#,##0.0" sourceLinked="1"/>
        <c:tickLblPos val="nextTo"/>
        <c:crossAx val="121696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8154106506707208E-2"/>
          <c:y val="5.6851851851851883E-2"/>
          <c:w val="0.88672196262941472"/>
          <c:h val="8.8644284047827468E-2"/>
        </c:manualLayout>
      </c:layout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0.39792</cdr:x>
      <cdr:y>0</cdr:y>
    </cdr:from>
    <cdr:to>
      <cdr:x>0.59792</cdr:x>
      <cdr:y>0.10069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19275" y="0"/>
          <a:ext cx="914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</cdr:x>
      <cdr:y>0.08681</cdr:y>
    </cdr:from>
    <cdr:to>
      <cdr:x>0.7</cdr:x>
      <cdr:y>0.42014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0" y="238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0.38138</cdr:x>
      <cdr:y>0</cdr:y>
    </cdr:from>
    <cdr:to>
      <cdr:x>0.6668</cdr:x>
      <cdr:y>0.08333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72746" y="-152400"/>
          <a:ext cx="1326689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 b="1" i="0" u="none" strike="noStrike" kern="1200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rPr>
            <a:t>մլրդ</a:t>
          </a:r>
          <a:r>
            <a:rPr lang="en-US" sz="1100" baseline="0"/>
            <a:t> </a:t>
          </a:r>
          <a:r>
            <a:rPr lang="en-US" sz="1000" b="1" i="0" u="none" strike="noStrike" kern="1200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rPr>
            <a:t>դրամ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2017-07-06T10:12:00Z</cp:lastPrinted>
  <dcterms:created xsi:type="dcterms:W3CDTF">2017-10-31T10:00:00Z</dcterms:created>
  <dcterms:modified xsi:type="dcterms:W3CDTF">2017-12-07T07:41:00Z</dcterms:modified>
</cp:coreProperties>
</file>