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69" w:rsidRPr="00683FE4" w:rsidRDefault="00173A69" w:rsidP="00691BBD">
      <w:pPr>
        <w:spacing w:after="0" w:line="360" w:lineRule="auto"/>
        <w:jc w:val="right"/>
        <w:rPr>
          <w:rFonts w:ascii="GHEA Grapalat" w:hAnsi="GHEA Grapalat"/>
          <w:sz w:val="20"/>
          <w:szCs w:val="20"/>
        </w:rPr>
      </w:pPr>
      <w:proofErr w:type="spellStart"/>
      <w:r w:rsidRPr="00683FE4">
        <w:rPr>
          <w:rFonts w:ascii="GHEA Grapalat" w:hAnsi="GHEA Grapalat"/>
          <w:sz w:val="20"/>
          <w:szCs w:val="20"/>
        </w:rPr>
        <w:t>Պատրաստված</w:t>
      </w:r>
      <w:proofErr w:type="spellEnd"/>
      <w:r w:rsidRPr="00683FE4">
        <w:rPr>
          <w:rFonts w:ascii="GHEA Grapalat" w:hAnsi="GHEA Grapalat"/>
          <w:sz w:val="20"/>
          <w:szCs w:val="20"/>
        </w:rPr>
        <w:t xml:space="preserve"> է </w:t>
      </w:r>
      <w:r w:rsidR="00EE330C" w:rsidRPr="00683FE4">
        <w:rPr>
          <w:rFonts w:ascii="GHEA Grapalat" w:hAnsi="GHEA Grapalat"/>
          <w:sz w:val="20"/>
          <w:szCs w:val="20"/>
        </w:rPr>
        <w:t xml:space="preserve">ՀՀ </w:t>
      </w:r>
      <w:r w:rsidRPr="00683FE4">
        <w:rPr>
          <w:rFonts w:ascii="GHEA Grapalat" w:hAnsi="GHEA Grapalat"/>
          <w:sz w:val="20"/>
          <w:szCs w:val="20"/>
        </w:rPr>
        <w:t xml:space="preserve">ԱԺ </w:t>
      </w:r>
      <w:proofErr w:type="spellStart"/>
      <w:r w:rsidRPr="00683FE4">
        <w:rPr>
          <w:rFonts w:ascii="GHEA Grapalat" w:hAnsi="GHEA Grapalat"/>
          <w:sz w:val="20"/>
          <w:szCs w:val="20"/>
        </w:rPr>
        <w:t>բյուջետային</w:t>
      </w:r>
      <w:proofErr w:type="spellEnd"/>
      <w:r w:rsidRPr="00683FE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683FE4">
        <w:rPr>
          <w:rFonts w:ascii="GHEA Grapalat" w:hAnsi="GHEA Grapalat"/>
          <w:sz w:val="20"/>
          <w:szCs w:val="20"/>
        </w:rPr>
        <w:t>գրասենյակի</w:t>
      </w:r>
      <w:proofErr w:type="spellEnd"/>
      <w:r w:rsidRPr="00683FE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683FE4">
        <w:rPr>
          <w:rFonts w:ascii="GHEA Grapalat" w:hAnsi="GHEA Grapalat"/>
          <w:sz w:val="20"/>
          <w:szCs w:val="20"/>
        </w:rPr>
        <w:t>կողմից</w:t>
      </w:r>
      <w:proofErr w:type="spellEnd"/>
    </w:p>
    <w:p w:rsidR="00173A69" w:rsidRPr="00683FE4" w:rsidRDefault="00691BBD" w:rsidP="00B33D1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683FE4">
        <w:rPr>
          <w:rFonts w:ascii="GHEA Grapalat" w:eastAsia="Times New Roman" w:hAnsi="GHEA Grapalat" w:cs="Arial"/>
          <w:b/>
          <w:bCs/>
          <w:sz w:val="24"/>
          <w:szCs w:val="24"/>
        </w:rPr>
        <w:t>ՏԵՂԵԿԱՆՔ</w:t>
      </w:r>
    </w:p>
    <w:p w:rsidR="00B33D18" w:rsidRPr="00683FE4" w:rsidRDefault="00691BBD" w:rsidP="00B33D18">
      <w:pPr>
        <w:spacing w:after="0" w:line="240" w:lineRule="auto"/>
        <w:jc w:val="center"/>
        <w:rPr>
          <w:rFonts w:ascii="GHEA Grapalat" w:eastAsia="Times New Roman" w:hAnsi="GHEA Grapalat" w:cs="Arial"/>
        </w:rPr>
      </w:pPr>
      <w:proofErr w:type="spellStart"/>
      <w:proofErr w:type="gramStart"/>
      <w:r w:rsidRPr="00683FE4">
        <w:rPr>
          <w:rFonts w:ascii="GHEA Grapalat" w:eastAsia="Times New Roman" w:hAnsi="GHEA Grapalat" w:cs="Arial"/>
        </w:rPr>
        <w:t>Հայաստանի</w:t>
      </w:r>
      <w:proofErr w:type="spellEnd"/>
      <w:r w:rsidRPr="00683FE4">
        <w:rPr>
          <w:rFonts w:ascii="GHEA Grapalat" w:eastAsia="Times New Roman" w:hAnsi="GHEA Grapalat" w:cs="Arial"/>
        </w:rPr>
        <w:t xml:space="preserve"> </w:t>
      </w:r>
      <w:proofErr w:type="spellStart"/>
      <w:r w:rsidRPr="00683FE4">
        <w:rPr>
          <w:rFonts w:ascii="GHEA Grapalat" w:eastAsia="Times New Roman" w:hAnsi="GHEA Grapalat" w:cs="Arial"/>
        </w:rPr>
        <w:t>Հանրապետության</w:t>
      </w:r>
      <w:proofErr w:type="spellEnd"/>
      <w:r w:rsidRPr="00683FE4">
        <w:rPr>
          <w:rFonts w:ascii="GHEA Grapalat" w:eastAsia="Times New Roman" w:hAnsi="GHEA Grapalat" w:cs="Arial"/>
        </w:rPr>
        <w:t xml:space="preserve"> 2014-2017 </w:t>
      </w:r>
      <w:proofErr w:type="spellStart"/>
      <w:r w:rsidRPr="00683FE4">
        <w:rPr>
          <w:rFonts w:ascii="GHEA Grapalat" w:eastAsia="Times New Roman" w:hAnsi="GHEA Grapalat" w:cs="Arial"/>
        </w:rPr>
        <w:t>թթ</w:t>
      </w:r>
      <w:proofErr w:type="spellEnd"/>
      <w:r w:rsidRPr="00683FE4">
        <w:rPr>
          <w:rFonts w:ascii="GHEA Grapalat" w:eastAsia="Times New Roman" w:hAnsi="GHEA Grapalat" w:cs="Arial"/>
        </w:rPr>
        <w:t>.</w:t>
      </w:r>
      <w:proofErr w:type="gramEnd"/>
      <w:r w:rsidRPr="00683FE4">
        <w:rPr>
          <w:rFonts w:ascii="GHEA Grapalat" w:eastAsia="Times New Roman" w:hAnsi="GHEA Grapalat" w:cs="Arial"/>
        </w:rPr>
        <w:t xml:space="preserve"> </w:t>
      </w:r>
      <w:proofErr w:type="spellStart"/>
      <w:proofErr w:type="gramStart"/>
      <w:r w:rsidRPr="00683FE4">
        <w:rPr>
          <w:rFonts w:ascii="GHEA Grapalat" w:eastAsia="Times New Roman" w:hAnsi="GHEA Grapalat" w:cs="Arial"/>
        </w:rPr>
        <w:t>պետական</w:t>
      </w:r>
      <w:proofErr w:type="spellEnd"/>
      <w:proofErr w:type="gramEnd"/>
      <w:r w:rsidRPr="00683FE4">
        <w:rPr>
          <w:rFonts w:ascii="GHEA Grapalat" w:eastAsia="Times New Roman" w:hAnsi="GHEA Grapalat" w:cs="Arial"/>
        </w:rPr>
        <w:t xml:space="preserve"> </w:t>
      </w:r>
      <w:proofErr w:type="spellStart"/>
      <w:r w:rsidRPr="00683FE4">
        <w:rPr>
          <w:rFonts w:ascii="GHEA Grapalat" w:eastAsia="Times New Roman" w:hAnsi="GHEA Grapalat" w:cs="Arial"/>
        </w:rPr>
        <w:t>բյուջեների</w:t>
      </w:r>
      <w:proofErr w:type="spellEnd"/>
      <w:r w:rsidRPr="00683FE4">
        <w:rPr>
          <w:rFonts w:ascii="GHEA Grapalat" w:eastAsia="Times New Roman" w:hAnsi="GHEA Grapalat" w:cs="Arial"/>
        </w:rPr>
        <w:t xml:space="preserve"> </w:t>
      </w:r>
      <w:proofErr w:type="spellStart"/>
      <w:r w:rsidRPr="00683FE4">
        <w:rPr>
          <w:rFonts w:ascii="GHEA Grapalat" w:eastAsia="Times New Roman" w:hAnsi="GHEA Grapalat" w:cs="Arial"/>
        </w:rPr>
        <w:t>եկամուտների</w:t>
      </w:r>
      <w:proofErr w:type="spellEnd"/>
      <w:r w:rsidRPr="00683FE4">
        <w:rPr>
          <w:rFonts w:ascii="GHEA Grapalat" w:eastAsia="Times New Roman" w:hAnsi="GHEA Grapalat" w:cs="Arial"/>
        </w:rPr>
        <w:t xml:space="preserve"> </w:t>
      </w:r>
      <w:proofErr w:type="spellStart"/>
      <w:r w:rsidRPr="00683FE4">
        <w:rPr>
          <w:rFonts w:ascii="GHEA Grapalat" w:eastAsia="Times New Roman" w:hAnsi="GHEA Grapalat" w:cs="Arial"/>
        </w:rPr>
        <w:t>վերաբերյալ</w:t>
      </w:r>
      <w:proofErr w:type="spellEnd"/>
      <w:r w:rsidRPr="00683FE4">
        <w:rPr>
          <w:rFonts w:ascii="GHEA Grapalat" w:eastAsia="Times New Roman" w:hAnsi="GHEA Grapalat" w:cs="Arial"/>
        </w:rPr>
        <w:t xml:space="preserve"> (</w:t>
      </w:r>
      <w:proofErr w:type="spellStart"/>
      <w:r w:rsidRPr="00683FE4">
        <w:rPr>
          <w:rFonts w:ascii="GHEA Grapalat" w:eastAsia="Times New Roman" w:hAnsi="GHEA Grapalat" w:cs="Arial"/>
        </w:rPr>
        <w:t>հունվար-</w:t>
      </w:r>
      <w:r w:rsidR="00577BCF" w:rsidRPr="00683FE4">
        <w:rPr>
          <w:rFonts w:ascii="GHEA Grapalat" w:eastAsia="Times New Roman" w:hAnsi="GHEA Grapalat" w:cs="Arial"/>
        </w:rPr>
        <w:t>մայիս</w:t>
      </w:r>
      <w:proofErr w:type="spellEnd"/>
      <w:r w:rsidRPr="00683FE4">
        <w:rPr>
          <w:rFonts w:ascii="GHEA Grapalat" w:eastAsia="Times New Roman" w:hAnsi="GHEA Grapalat" w:cs="Arial"/>
        </w:rPr>
        <w:t>)`</w:t>
      </w:r>
    </w:p>
    <w:p w:rsidR="00691BBD" w:rsidRPr="00683FE4" w:rsidRDefault="005B32B8" w:rsidP="005B32B8">
      <w:pPr>
        <w:spacing w:after="0" w:line="240" w:lineRule="auto"/>
        <w:jc w:val="center"/>
        <w:rPr>
          <w:rFonts w:ascii="GHEA Grapalat" w:eastAsia="Times New Roman" w:hAnsi="GHEA Grapalat" w:cs="Arial"/>
        </w:rPr>
      </w:pPr>
      <w:r w:rsidRPr="00683FE4">
        <w:rPr>
          <w:rFonts w:ascii="GHEA Grapalat" w:eastAsia="Times New Roman" w:hAnsi="GHEA Grapalat" w:cs="Arial"/>
        </w:rPr>
        <w:t xml:space="preserve">                                                                           </w:t>
      </w:r>
      <w:proofErr w:type="spellStart"/>
      <w:proofErr w:type="gramStart"/>
      <w:r w:rsidR="00D72992" w:rsidRPr="00683FE4">
        <w:rPr>
          <w:rFonts w:ascii="GHEA Grapalat" w:eastAsia="Times New Roman" w:hAnsi="GHEA Grapalat" w:cs="Arial"/>
        </w:rPr>
        <w:t>գ</w:t>
      </w:r>
      <w:r w:rsidR="00691BBD" w:rsidRPr="00683FE4">
        <w:rPr>
          <w:rFonts w:ascii="GHEA Grapalat" w:eastAsia="Times New Roman" w:hAnsi="GHEA Grapalat" w:cs="Arial"/>
        </w:rPr>
        <w:t>ծապատկերներով</w:t>
      </w:r>
      <w:proofErr w:type="spellEnd"/>
      <w:proofErr w:type="gramEnd"/>
      <w:r w:rsidRPr="00683FE4">
        <w:rPr>
          <w:rFonts w:ascii="GHEA Grapalat" w:eastAsia="Times New Roman" w:hAnsi="GHEA Grapalat" w:cs="Arial"/>
        </w:rPr>
        <w:t xml:space="preserve">                                                          </w:t>
      </w:r>
      <w:proofErr w:type="spellStart"/>
      <w:r w:rsidRPr="00683FE4">
        <w:rPr>
          <w:rFonts w:ascii="GHEA Grapalat" w:eastAsia="Times New Roman" w:hAnsi="GHEA Grapalat" w:cs="Arial"/>
          <w:b/>
          <w:sz w:val="20"/>
          <w:szCs w:val="20"/>
        </w:rPr>
        <w:t>մլրդ</w:t>
      </w:r>
      <w:proofErr w:type="spellEnd"/>
      <w:r w:rsidRPr="00683FE4">
        <w:rPr>
          <w:rFonts w:ascii="GHEA Grapalat" w:eastAsia="Times New Roman" w:hAnsi="GHEA Grapalat" w:cs="Arial"/>
          <w:b/>
          <w:sz w:val="20"/>
          <w:szCs w:val="20"/>
        </w:rPr>
        <w:t xml:space="preserve"> </w:t>
      </w:r>
      <w:proofErr w:type="spellStart"/>
      <w:r w:rsidRPr="00683FE4">
        <w:rPr>
          <w:rFonts w:ascii="GHEA Grapalat" w:eastAsia="Times New Roman" w:hAnsi="GHEA Grapalat" w:cs="Arial"/>
          <w:b/>
          <w:sz w:val="20"/>
          <w:szCs w:val="20"/>
        </w:rPr>
        <w:t>դրամ</w:t>
      </w:r>
      <w:proofErr w:type="spellEnd"/>
    </w:p>
    <w:p w:rsidR="00B71918" w:rsidRPr="00683FE4" w:rsidRDefault="00B71918" w:rsidP="00B33D18">
      <w:pPr>
        <w:spacing w:after="0" w:line="240" w:lineRule="auto"/>
        <w:jc w:val="center"/>
        <w:rPr>
          <w:rFonts w:ascii="GHEA Grapalat" w:eastAsia="Times New Roman" w:hAnsi="GHEA Grapalat" w:cs="Arial"/>
          <w:sz w:val="8"/>
          <w:szCs w:val="8"/>
        </w:rPr>
      </w:pPr>
    </w:p>
    <w:p w:rsidR="00173A69" w:rsidRPr="00683FE4" w:rsidRDefault="00577BCF">
      <w:pPr>
        <w:rPr>
          <w:rFonts w:ascii="GHEA Grapalat" w:hAnsi="GHEA Grapalat"/>
        </w:rPr>
      </w:pPr>
      <w:r w:rsidRPr="00683FE4">
        <w:rPr>
          <w:rFonts w:ascii="GHEA Grapalat" w:hAnsi="GHEA Grapalat"/>
        </w:rPr>
        <w:drawing>
          <wp:inline distT="0" distB="0" distL="0" distR="0">
            <wp:extent cx="4572000" cy="2743200"/>
            <wp:effectExtent l="19050" t="0" r="1905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16256A" w:rsidRPr="00683FE4">
        <w:rPr>
          <w:rFonts w:ascii="GHEA Grapalat" w:hAnsi="GHEA Grapalat"/>
        </w:rPr>
        <w:drawing>
          <wp:inline distT="0" distB="0" distL="0" distR="0">
            <wp:extent cx="4667250" cy="2743200"/>
            <wp:effectExtent l="19050" t="0" r="19050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71918" w:rsidRPr="00683FE4" w:rsidRDefault="0093464C">
      <w:pPr>
        <w:rPr>
          <w:rFonts w:ascii="GHEA Grapalat" w:hAnsi="GHEA Grapalat" w:cs="Sylfaen"/>
        </w:rPr>
      </w:pPr>
      <w:r w:rsidRPr="0093464C">
        <w:rPr>
          <w:rFonts w:ascii="GHEA Grapalat" w:hAnsi="GHEA Grapalat" w:cs="Sylfaen"/>
        </w:rPr>
        <w:drawing>
          <wp:inline distT="0" distB="0" distL="0" distR="0">
            <wp:extent cx="4572000" cy="2743200"/>
            <wp:effectExtent l="19050" t="0" r="19050" b="0"/>
            <wp:docPr id="10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93464C">
        <w:rPr>
          <w:rFonts w:ascii="GHEA Grapalat" w:hAnsi="GHEA Grapalat" w:cs="Sylfaen"/>
        </w:rPr>
        <w:drawing>
          <wp:inline distT="0" distB="0" distL="0" distR="0">
            <wp:extent cx="4629150" cy="2743200"/>
            <wp:effectExtent l="19050" t="0" r="19050" b="0"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5DF0" w:rsidRPr="00683FE4" w:rsidRDefault="00B71918" w:rsidP="00B71918">
      <w:pPr>
        <w:spacing w:after="0" w:line="240" w:lineRule="auto"/>
        <w:rPr>
          <w:rFonts w:ascii="GHEA Grapalat" w:hAnsi="GHEA Grapalat"/>
          <w:sz w:val="16"/>
          <w:szCs w:val="16"/>
        </w:rPr>
      </w:pPr>
      <w:proofErr w:type="spellStart"/>
      <w:proofErr w:type="gramStart"/>
      <w:r w:rsidRPr="00683FE4">
        <w:rPr>
          <w:rFonts w:ascii="GHEA Grapalat" w:hAnsi="GHEA Grapalat" w:cs="Sylfaen"/>
          <w:b/>
          <w:sz w:val="16"/>
          <w:szCs w:val="16"/>
        </w:rPr>
        <w:t>Տեղեկատվության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աղբյուրներ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են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հանդիսացել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Հայաստանի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Հանրապետության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ֆինանսների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նախարարության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ինտերնետային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կայքում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հրապարակված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Հայաստանի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Հանրապետության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r w:rsidR="005A7921" w:rsidRPr="00683FE4">
        <w:rPr>
          <w:rFonts w:ascii="GHEA Grapalat" w:hAnsi="GHEA Grapalat"/>
          <w:b/>
          <w:sz w:val="16"/>
          <w:szCs w:val="16"/>
        </w:rPr>
        <w:t xml:space="preserve">2014-2017 </w:t>
      </w:r>
      <w:proofErr w:type="spellStart"/>
      <w:r w:rsidR="005A7921" w:rsidRPr="00683FE4">
        <w:rPr>
          <w:rFonts w:ascii="GHEA Grapalat" w:hAnsi="GHEA Grapalat" w:cs="Sylfaen"/>
          <w:b/>
          <w:sz w:val="16"/>
          <w:szCs w:val="16"/>
        </w:rPr>
        <w:t>թթ</w:t>
      </w:r>
      <w:proofErr w:type="spellEnd"/>
      <w:r w:rsidR="005A7921" w:rsidRPr="00683FE4">
        <w:rPr>
          <w:rFonts w:ascii="GHEA Grapalat" w:hAnsi="GHEA Grapalat" w:cs="Sylfaen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պետական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բյուջե</w:t>
      </w:r>
      <w:r w:rsidR="005A7921" w:rsidRPr="00683FE4">
        <w:rPr>
          <w:rFonts w:ascii="GHEA Grapalat" w:hAnsi="GHEA Grapalat" w:cs="Sylfaen"/>
          <w:b/>
          <w:sz w:val="16"/>
          <w:szCs w:val="16"/>
        </w:rPr>
        <w:t>ներ</w:t>
      </w:r>
      <w:r w:rsidRPr="00683FE4">
        <w:rPr>
          <w:rFonts w:ascii="GHEA Grapalat" w:hAnsi="GHEA Grapalat" w:cs="Sylfaen"/>
          <w:b/>
          <w:sz w:val="16"/>
          <w:szCs w:val="16"/>
        </w:rPr>
        <w:t>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կատարման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>.</w:t>
      </w:r>
      <w:proofErr w:type="gram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proofErr w:type="gramStart"/>
      <w:r w:rsidR="005A7921" w:rsidRPr="00683FE4">
        <w:rPr>
          <w:rFonts w:ascii="GHEA Grapalat" w:hAnsi="GHEA Grapalat" w:cs="Sylfaen"/>
          <w:b/>
          <w:sz w:val="16"/>
          <w:szCs w:val="16"/>
        </w:rPr>
        <w:t>ապրիլ</w:t>
      </w:r>
      <w:proofErr w:type="spellEnd"/>
      <w:r w:rsidR="005A7921" w:rsidRPr="00683FE4">
        <w:rPr>
          <w:rFonts w:ascii="GHEA Grapalat" w:hAnsi="GHEA Grapalat" w:cs="Sylfaen"/>
          <w:b/>
          <w:sz w:val="16"/>
          <w:szCs w:val="16"/>
        </w:rPr>
        <w:t xml:space="preserve"> </w:t>
      </w:r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ամսվա</w:t>
      </w:r>
      <w:proofErr w:type="spellEnd"/>
      <w:proofErr w:type="gram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ամփոփ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բնութագրերը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r w:rsidRPr="00683FE4">
        <w:rPr>
          <w:rFonts w:ascii="GHEA Grapalat" w:hAnsi="GHEA Grapalat" w:cs="Sylfaen"/>
          <w:b/>
          <w:sz w:val="16"/>
          <w:szCs w:val="16"/>
        </w:rPr>
        <w:t>և</w:t>
      </w:r>
      <w:r w:rsidRPr="00683FE4">
        <w:rPr>
          <w:rFonts w:ascii="GHEA Grapalat" w:hAnsi="GHEA Grapalat"/>
          <w:b/>
          <w:sz w:val="16"/>
          <w:szCs w:val="16"/>
        </w:rPr>
        <w:t xml:space="preserve"> «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Հայաստանի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Հանրապետության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2017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թվականի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պետական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բյուջեի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կատարումն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ապահովող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միջոցառումների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մասին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»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Հայաստանի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Հանրապետության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կառավարության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29.12.2016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թվականի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թիվ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1313-</w:t>
      </w:r>
      <w:r w:rsidRPr="00683FE4">
        <w:rPr>
          <w:rFonts w:ascii="GHEA Grapalat" w:hAnsi="GHEA Grapalat" w:cs="Sylfaen"/>
          <w:b/>
          <w:sz w:val="16"/>
          <w:szCs w:val="16"/>
        </w:rPr>
        <w:t>Ն</w:t>
      </w:r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որոշումը</w:t>
      </w:r>
      <w:proofErr w:type="spellEnd"/>
    </w:p>
    <w:sectPr w:rsidR="00D25DF0" w:rsidRPr="00683FE4" w:rsidSect="00751C9B">
      <w:pgSz w:w="15840" w:h="12240" w:orient="landscape"/>
      <w:pgMar w:top="270" w:right="18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73A69"/>
    <w:rsid w:val="0000664B"/>
    <w:rsid w:val="000B64F2"/>
    <w:rsid w:val="00113D8C"/>
    <w:rsid w:val="00116141"/>
    <w:rsid w:val="0016256A"/>
    <w:rsid w:val="00173A69"/>
    <w:rsid w:val="001F75CD"/>
    <w:rsid w:val="00291EAC"/>
    <w:rsid w:val="002C450F"/>
    <w:rsid w:val="00453866"/>
    <w:rsid w:val="00510552"/>
    <w:rsid w:val="00526BC2"/>
    <w:rsid w:val="005768CB"/>
    <w:rsid w:val="00577BCF"/>
    <w:rsid w:val="005A7921"/>
    <w:rsid w:val="005B32B8"/>
    <w:rsid w:val="005E0FD9"/>
    <w:rsid w:val="005F01F7"/>
    <w:rsid w:val="00683FE4"/>
    <w:rsid w:val="00691BBD"/>
    <w:rsid w:val="006A7C1F"/>
    <w:rsid w:val="007112B3"/>
    <w:rsid w:val="00751C9B"/>
    <w:rsid w:val="007833A4"/>
    <w:rsid w:val="008348A9"/>
    <w:rsid w:val="00845E5A"/>
    <w:rsid w:val="009056F8"/>
    <w:rsid w:val="0093464C"/>
    <w:rsid w:val="00A31794"/>
    <w:rsid w:val="00A6161B"/>
    <w:rsid w:val="00A855AE"/>
    <w:rsid w:val="00B33D18"/>
    <w:rsid w:val="00B71918"/>
    <w:rsid w:val="00BA4DE7"/>
    <w:rsid w:val="00C5174D"/>
    <w:rsid w:val="00C5622D"/>
    <w:rsid w:val="00C90DAB"/>
    <w:rsid w:val="00CB7BF1"/>
    <w:rsid w:val="00CE73D3"/>
    <w:rsid w:val="00CF72D9"/>
    <w:rsid w:val="00D231D5"/>
    <w:rsid w:val="00D25DF0"/>
    <w:rsid w:val="00D72992"/>
    <w:rsid w:val="00DC6619"/>
    <w:rsid w:val="00E91C9A"/>
    <w:rsid w:val="00EE330C"/>
    <w:rsid w:val="00F07CF6"/>
    <w:rsid w:val="00F7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33;&#1346;&#1333;&#1343;&#1329;&#1350;&#1364;&#1350;&#1333;&#1360;2017\&#1333;&#1343;&#1329;&#1348;&#1352;&#1362;&#1359;&#1350;&#1333;&#1360;%202017\Mayis\mayis%20-%20Ekamutner%20-%20&#1379;&#1390;&#1377;&#1402;&#1377;&#1407;&#1391;&#1381;&#1408;&#1398;&#1381;&#1408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33;&#1346;&#1333;&#1343;&#1329;&#1350;&#1364;&#1350;&#1333;&#1360;2017\&#1333;&#1343;&#1329;&#1348;&#1352;&#1362;&#1359;&#1350;&#1333;&#1360;%202017\Mayis\mayis%20-%20Ekamutner%20-%20&#1379;&#1390;&#1377;&#1402;&#1377;&#1407;&#1391;&#1381;&#1408;&#1398;&#1381;&#1408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33;&#1346;&#1333;&#1343;&#1329;&#1350;&#1364;&#1350;&#1333;&#1360;2017\&#1333;&#1343;&#1329;&#1348;&#1352;&#1362;&#1359;&#1350;&#1333;&#1360;%202017\Mayis\mayis%20-%20Ekamutner%20-%20&#1379;&#1390;&#1377;&#1402;&#1377;&#1407;&#1391;&#1381;&#1408;&#1398;&#1381;&#1408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33;&#1346;&#1333;&#1343;&#1329;&#1350;&#1364;&#1350;&#1333;&#1360;2017\&#1333;&#1343;&#1329;&#1348;&#1352;&#1362;&#1359;&#1350;&#1333;&#1360;%202017\Mayis\mayis%20-%20Ekamutner%20-%20&#1379;&#1390;&#1377;&#1402;&#1377;&#1407;&#1391;&#1381;&#1408;&#1398;&#1381;&#1408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en-US" sz="900">
                <a:latin typeface="GHEA Grapalat" pitchFamily="50" charset="0"/>
              </a:rPr>
              <a:t>մլրդ. դրամ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ընդամենը!$A$2</c:f>
              <c:strCache>
                <c:ptCount val="1"/>
                <c:pt idx="0">
                  <c:v>ԸՆԴԱՄԵՆԸ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ընդամենը!$B$1:$C$1</c:f>
              <c:strCache>
                <c:ptCount val="2"/>
                <c:pt idx="0">
                  <c:v>2017թ. 1-ին կիսամյակ (հաստատված)</c:v>
                </c:pt>
                <c:pt idx="1">
                  <c:v>2017թ. (փաստացի)</c:v>
                </c:pt>
              </c:strCache>
            </c:strRef>
          </c:cat>
          <c:val>
            <c:numRef>
              <c:f>ընդամենը!$B$2:$C$2</c:f>
              <c:numCache>
                <c:formatCode>#,##0.0;[Red]#,##0.0</c:formatCode>
                <c:ptCount val="2"/>
                <c:pt idx="0">
                  <c:v>554.4</c:v>
                </c:pt>
                <c:pt idx="1">
                  <c:v>480.5</c:v>
                </c:pt>
              </c:numCache>
            </c:numRef>
          </c:val>
        </c:ser>
        <c:ser>
          <c:idx val="1"/>
          <c:order val="1"/>
          <c:tx>
            <c:strRef>
              <c:f>ընդամենը!$A$3</c:f>
              <c:strCache>
                <c:ptCount val="1"/>
                <c:pt idx="0">
                  <c:v>ՀԱՐԿԱՅԻՆ ԵԿԱՄՈՒՏՆԵՐ ԵՎ ՊԵՏԱԿԱՆ ՏՈՒՐՔԵՐ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ընդամենը!$B$1:$C$1</c:f>
              <c:strCache>
                <c:ptCount val="2"/>
                <c:pt idx="0">
                  <c:v>2017թ. 1-ին կիսամյակ (հաստատված)</c:v>
                </c:pt>
                <c:pt idx="1">
                  <c:v>2017թ. (փաստացի)</c:v>
                </c:pt>
              </c:strCache>
            </c:strRef>
          </c:cat>
          <c:val>
            <c:numRef>
              <c:f>ընդամենը!$B$3:$C$3</c:f>
              <c:numCache>
                <c:formatCode>#,##0.0;[Red]#,##0.0</c:formatCode>
                <c:ptCount val="2"/>
                <c:pt idx="0">
                  <c:v>531.6</c:v>
                </c:pt>
                <c:pt idx="1">
                  <c:v>455.5</c:v>
                </c:pt>
              </c:numCache>
            </c:numRef>
          </c:val>
        </c:ser>
        <c:ser>
          <c:idx val="2"/>
          <c:order val="2"/>
          <c:tx>
            <c:strRef>
              <c:f>ընդամենը!$A$4</c:f>
              <c:strCache>
                <c:ptCount val="1"/>
                <c:pt idx="0">
                  <c:v>ՊԱՇՏՈՆԱԿԱՆ ԴՐԱՄԱՇՆՈՐՀՆԵՐ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ընդամենը!$B$1:$C$1</c:f>
              <c:strCache>
                <c:ptCount val="2"/>
                <c:pt idx="0">
                  <c:v>2017թ. 1-ին կիսամյակ (հաստատված)</c:v>
                </c:pt>
                <c:pt idx="1">
                  <c:v>2017թ. (փաստացի)</c:v>
                </c:pt>
              </c:strCache>
            </c:strRef>
          </c:cat>
          <c:val>
            <c:numRef>
              <c:f>ընդամենը!$B$4:$C$4</c:f>
              <c:numCache>
                <c:formatCode>#,##0.0;[Red]#,##0.0</c:formatCode>
                <c:ptCount val="2"/>
                <c:pt idx="0">
                  <c:v>8.8000000000000007</c:v>
                </c:pt>
                <c:pt idx="1">
                  <c:v>3.5</c:v>
                </c:pt>
              </c:numCache>
            </c:numRef>
          </c:val>
        </c:ser>
        <c:ser>
          <c:idx val="3"/>
          <c:order val="3"/>
          <c:tx>
            <c:strRef>
              <c:f>ընդամենը!$A$5</c:f>
              <c:strCache>
                <c:ptCount val="1"/>
                <c:pt idx="0">
                  <c:v>ԱՅԼ ԵԿԱՄՈՒՏՆԵՐ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ընդամենը!$B$1:$C$1</c:f>
              <c:strCache>
                <c:ptCount val="2"/>
                <c:pt idx="0">
                  <c:v>2017թ. 1-ին կիսամյակ (հաստատված)</c:v>
                </c:pt>
                <c:pt idx="1">
                  <c:v>2017թ. (փաստացի)</c:v>
                </c:pt>
              </c:strCache>
            </c:strRef>
          </c:cat>
          <c:val>
            <c:numRef>
              <c:f>ընդամենը!$B$5:$C$5</c:f>
              <c:numCache>
                <c:formatCode>#,##0.0;[Red]#,##0.0</c:formatCode>
                <c:ptCount val="2"/>
                <c:pt idx="0">
                  <c:v>13.9</c:v>
                </c:pt>
                <c:pt idx="1">
                  <c:v>21.5</c:v>
                </c:pt>
              </c:numCache>
            </c:numRef>
          </c:val>
        </c:ser>
        <c:dLbls>
          <c:showVal val="1"/>
        </c:dLbls>
        <c:overlap val="-25"/>
        <c:axId val="147160448"/>
        <c:axId val="147547648"/>
      </c:barChart>
      <c:catAx>
        <c:axId val="14716044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GHEA Grapalat" pitchFamily="50" charset="0"/>
              </a:defRPr>
            </a:pPr>
            <a:endParaRPr lang="en-US"/>
          </a:p>
        </c:txPr>
        <c:crossAx val="147547648"/>
        <c:crosses val="autoZero"/>
        <c:auto val="1"/>
        <c:lblAlgn val="ctr"/>
        <c:lblOffset val="100"/>
      </c:catAx>
      <c:valAx>
        <c:axId val="147547648"/>
        <c:scaling>
          <c:orientation val="minMax"/>
        </c:scaling>
        <c:delete val="1"/>
        <c:axPos val="l"/>
        <c:numFmt formatCode="#,##0.0;[Red]#,##0.0" sourceLinked="1"/>
        <c:majorTickMark val="none"/>
        <c:tickLblPos val="nextTo"/>
        <c:crossAx val="147160448"/>
        <c:crosses val="autoZero"/>
        <c:crossBetween val="between"/>
      </c:valAx>
    </c:plotArea>
    <c:legend>
      <c:legendPos val="t"/>
      <c:txPr>
        <a:bodyPr/>
        <a:lstStyle/>
        <a:p>
          <a:pPr>
            <a:defRPr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Հարկեր!$B$1</c:f>
              <c:strCache>
                <c:ptCount val="1"/>
                <c:pt idx="0">
                  <c:v>2014թ. 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Հարկեր!$A$2:$A$7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Հարկեր!$B$2:$B$7</c:f>
              <c:numCache>
                <c:formatCode>#,##0.0;[Red]#,##0.0</c:formatCode>
                <c:ptCount val="6"/>
                <c:pt idx="0">
                  <c:v>168</c:v>
                </c:pt>
                <c:pt idx="1">
                  <c:v>16.7</c:v>
                </c:pt>
                <c:pt idx="2">
                  <c:v>49.7</c:v>
                </c:pt>
                <c:pt idx="3">
                  <c:v>111.5</c:v>
                </c:pt>
                <c:pt idx="4">
                  <c:v>19.8</c:v>
                </c:pt>
                <c:pt idx="5">
                  <c:v>1.5</c:v>
                </c:pt>
              </c:numCache>
            </c:numRef>
          </c:val>
        </c:ser>
        <c:ser>
          <c:idx val="1"/>
          <c:order val="1"/>
          <c:tx>
            <c:strRef>
              <c:f>Հարկեր!$C$1</c:f>
              <c:strCache>
                <c:ptCount val="1"/>
                <c:pt idx="0">
                  <c:v>2015թ.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Հարկեր!$A$2:$A$7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Հարկեր!$C$2:$C$7</c:f>
              <c:numCache>
                <c:formatCode>#,##0.0;[Red]#,##0.0</c:formatCode>
                <c:ptCount val="6"/>
                <c:pt idx="0">
                  <c:v>159.9</c:v>
                </c:pt>
                <c:pt idx="1">
                  <c:v>17</c:v>
                </c:pt>
                <c:pt idx="2">
                  <c:v>47.4</c:v>
                </c:pt>
                <c:pt idx="3">
                  <c:v>118.2</c:v>
                </c:pt>
                <c:pt idx="4">
                  <c:v>25</c:v>
                </c:pt>
                <c:pt idx="5">
                  <c:v>1.3</c:v>
                </c:pt>
              </c:numCache>
            </c:numRef>
          </c:val>
        </c:ser>
        <c:ser>
          <c:idx val="2"/>
          <c:order val="2"/>
          <c:tx>
            <c:strRef>
              <c:f>Հարկեր!$D$1</c:f>
              <c:strCache>
                <c:ptCount val="1"/>
                <c:pt idx="0">
                  <c:v>2016թ. </c:v>
                </c:pt>
              </c:strCache>
            </c:strRef>
          </c:tx>
          <c:dLbls>
            <c:txPr>
              <a:bodyPr rot="-5400000" vert="horz"/>
              <a:lstStyle/>
              <a:p>
                <a:pPr algn="ctr">
                  <a:defRPr lang="en-US" sz="1000" b="0" i="0" u="none" strike="noStrike" kern="1200" baseline="0">
                    <a:solidFill>
                      <a:sysClr val="windowText" lastClr="000000"/>
                    </a:solidFill>
                    <a:latin typeface="GHEA Grapalat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</c:dLbls>
          <c:cat>
            <c:strRef>
              <c:f>Հարկեր!$A$2:$A$7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Հարկեր!$D$2:$D$7</c:f>
              <c:numCache>
                <c:formatCode>#,##0.0;[Red]#,##0.0</c:formatCode>
                <c:ptCount val="6"/>
                <c:pt idx="0">
                  <c:v>146.9</c:v>
                </c:pt>
                <c:pt idx="1">
                  <c:v>21.8</c:v>
                </c:pt>
                <c:pt idx="2">
                  <c:v>58.3</c:v>
                </c:pt>
                <c:pt idx="3">
                  <c:v>125.9</c:v>
                </c:pt>
                <c:pt idx="4">
                  <c:v>20.5</c:v>
                </c:pt>
                <c:pt idx="5">
                  <c:v>1.2</c:v>
                </c:pt>
              </c:numCache>
            </c:numRef>
          </c:val>
        </c:ser>
        <c:ser>
          <c:idx val="3"/>
          <c:order val="3"/>
          <c:tx>
            <c:strRef>
              <c:f>Հարկեր!$E$1</c:f>
              <c:strCache>
                <c:ptCount val="1"/>
                <c:pt idx="0">
                  <c:v>2017թ.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Հարկեր!$A$2:$A$7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Հարկեր!$E$2:$E$7</c:f>
              <c:numCache>
                <c:formatCode>#,##0.0;[Red]#,##0.0</c:formatCode>
                <c:ptCount val="6"/>
                <c:pt idx="0">
                  <c:v>160.30000000000001</c:v>
                </c:pt>
                <c:pt idx="1">
                  <c:v>26.5</c:v>
                </c:pt>
                <c:pt idx="2">
                  <c:v>56.7</c:v>
                </c:pt>
                <c:pt idx="3">
                  <c:v>132.30000000000001</c:v>
                </c:pt>
                <c:pt idx="4">
                  <c:v>24.5</c:v>
                </c:pt>
                <c:pt idx="5">
                  <c:v>1.4</c:v>
                </c:pt>
              </c:numCache>
            </c:numRef>
          </c:val>
        </c:ser>
        <c:dLbls>
          <c:showVal val="1"/>
        </c:dLbls>
        <c:overlap val="-25"/>
        <c:axId val="149555840"/>
        <c:axId val="149825024"/>
      </c:barChart>
      <c:catAx>
        <c:axId val="14955584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50" b="1">
                <a:latin typeface="GHEA Grapalat" pitchFamily="50" charset="0"/>
              </a:defRPr>
            </a:pPr>
            <a:endParaRPr lang="en-US"/>
          </a:p>
        </c:txPr>
        <c:crossAx val="149825024"/>
        <c:crosses val="autoZero"/>
        <c:auto val="1"/>
        <c:lblAlgn val="ctr"/>
        <c:lblOffset val="100"/>
      </c:catAx>
      <c:valAx>
        <c:axId val="149825024"/>
        <c:scaling>
          <c:orientation val="minMax"/>
        </c:scaling>
        <c:delete val="1"/>
        <c:axPos val="l"/>
        <c:numFmt formatCode="#,##0.0;[Red]#,##0.0" sourceLinked="1"/>
        <c:majorTickMark val="none"/>
        <c:tickLblPos val="nextTo"/>
        <c:crossAx val="149555840"/>
        <c:crosses val="autoZero"/>
        <c:crossBetween val="between"/>
      </c:valAx>
    </c:plotArea>
    <c:legend>
      <c:legendPos val="t"/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'Հարկեր 2'!$B$1</c:f>
              <c:strCache>
                <c:ptCount val="1"/>
                <c:pt idx="0">
                  <c:v>2014թ.  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'Հարկեր 2'!$A$2:$A$6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'Հարկեր 2'!$B$2:$B$6</c:f>
              <c:numCache>
                <c:formatCode>#,##0.0;[Red]#,##0.0</c:formatCode>
                <c:ptCount val="5"/>
                <c:pt idx="0">
                  <c:v>9.9</c:v>
                </c:pt>
                <c:pt idx="1">
                  <c:v>6.4</c:v>
                </c:pt>
                <c:pt idx="2">
                  <c:v>0</c:v>
                </c:pt>
                <c:pt idx="3">
                  <c:v>8</c:v>
                </c:pt>
                <c:pt idx="4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'Հարկեր 2'!$C$1</c:f>
              <c:strCache>
                <c:ptCount val="1"/>
                <c:pt idx="0">
                  <c:v>2015թ.  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'Հարկեր 2'!$A$2:$A$6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'Հարկեր 2'!$C$2:$C$6</c:f>
              <c:numCache>
                <c:formatCode>#,##0.0;[Red]#,##0.0</c:formatCode>
                <c:ptCount val="5"/>
                <c:pt idx="0">
                  <c:v>10.9</c:v>
                </c:pt>
                <c:pt idx="1">
                  <c:v>4.4000000000000004</c:v>
                </c:pt>
                <c:pt idx="2">
                  <c:v>4</c:v>
                </c:pt>
                <c:pt idx="3">
                  <c:v>11.1</c:v>
                </c:pt>
                <c:pt idx="4">
                  <c:v>11.3</c:v>
                </c:pt>
              </c:numCache>
            </c:numRef>
          </c:val>
        </c:ser>
        <c:ser>
          <c:idx val="2"/>
          <c:order val="2"/>
          <c:tx>
            <c:strRef>
              <c:f>'Հարկեր 2'!$D$1</c:f>
              <c:strCache>
                <c:ptCount val="1"/>
                <c:pt idx="0">
                  <c:v>2016թ.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'Հարկեր 2'!$A$2:$A$6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'Հարկեր 2'!$D$2:$D$6</c:f>
              <c:numCache>
                <c:formatCode>#,##0.0;[Red]#,##0.0</c:formatCode>
                <c:ptCount val="5"/>
                <c:pt idx="0">
                  <c:v>11.3</c:v>
                </c:pt>
                <c:pt idx="1">
                  <c:v>5.9</c:v>
                </c:pt>
                <c:pt idx="2">
                  <c:v>4.9000000000000004</c:v>
                </c:pt>
                <c:pt idx="3">
                  <c:v>11.6</c:v>
                </c:pt>
                <c:pt idx="4">
                  <c:v>11.8</c:v>
                </c:pt>
              </c:numCache>
            </c:numRef>
          </c:val>
        </c:ser>
        <c:ser>
          <c:idx val="3"/>
          <c:order val="3"/>
          <c:tx>
            <c:strRef>
              <c:f>'Հարկեր 2'!$E$1</c:f>
              <c:strCache>
                <c:ptCount val="1"/>
                <c:pt idx="0">
                  <c:v>2017թ. 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'Հարկեր 2'!$A$2:$A$6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'Հարկեր 2'!$E$2:$E$6</c:f>
              <c:numCache>
                <c:formatCode>#,##0.0;[Red]#,##0.0</c:formatCode>
                <c:ptCount val="5"/>
                <c:pt idx="0">
                  <c:v>19.2</c:v>
                </c:pt>
                <c:pt idx="1">
                  <c:v>6.9</c:v>
                </c:pt>
                <c:pt idx="2">
                  <c:v>5.8</c:v>
                </c:pt>
                <c:pt idx="3">
                  <c:v>10.6</c:v>
                </c:pt>
                <c:pt idx="4">
                  <c:v>11.4</c:v>
                </c:pt>
              </c:numCache>
            </c:numRef>
          </c:val>
        </c:ser>
        <c:dLbls>
          <c:showVal val="1"/>
        </c:dLbls>
        <c:overlap val="-25"/>
        <c:axId val="70836608"/>
        <c:axId val="70838144"/>
      </c:barChart>
      <c:catAx>
        <c:axId val="708366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700" b="1"/>
            </a:pPr>
            <a:endParaRPr lang="en-US"/>
          </a:p>
        </c:txPr>
        <c:crossAx val="70838144"/>
        <c:crosses val="autoZero"/>
        <c:auto val="1"/>
        <c:lblAlgn val="ctr"/>
        <c:lblOffset val="100"/>
      </c:catAx>
      <c:valAx>
        <c:axId val="70838144"/>
        <c:scaling>
          <c:orientation val="minMax"/>
        </c:scaling>
        <c:delete val="1"/>
        <c:axPos val="l"/>
        <c:numFmt formatCode="#,##0.0;[Red]#,##0.0" sourceLinked="1"/>
        <c:tickLblPos val="nextTo"/>
        <c:crossAx val="70836608"/>
        <c:crosses val="autoZero"/>
        <c:crossBetween val="between"/>
      </c:valAx>
    </c:plotArea>
    <c:legend>
      <c:legendPos val="t"/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hy-AM" sz="900">
                <a:latin typeface="GHEA Grapalat" pitchFamily="50" charset="0"/>
              </a:rPr>
              <a:t>մլրդ դրամ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Այլ!$A$2</c:f>
              <c:strCache>
                <c:ptCount val="1"/>
                <c:pt idx="0">
                  <c:v>ՊԱՇՏՈՆԱԿԱՆ ԴՐԱՄԱՇՆՈՐՀՆԵՐ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Այլ!$B$1:$E$1</c:f>
              <c:strCache>
                <c:ptCount val="4"/>
                <c:pt idx="0">
                  <c:v>2014թ.</c:v>
                </c:pt>
                <c:pt idx="1">
                  <c:v>2015թ.  </c:v>
                </c:pt>
                <c:pt idx="2">
                  <c:v>2016թ. </c:v>
                </c:pt>
                <c:pt idx="3">
                  <c:v>2017թ. </c:v>
                </c:pt>
              </c:strCache>
            </c:strRef>
          </c:cat>
          <c:val>
            <c:numRef>
              <c:f>Այլ!$B$2:$E$2</c:f>
              <c:numCache>
                <c:formatCode>#,##0.0;[Red]#,##0.0</c:formatCode>
                <c:ptCount val="4"/>
                <c:pt idx="0">
                  <c:v>0.54</c:v>
                </c:pt>
                <c:pt idx="1">
                  <c:v>0.56999999999999995</c:v>
                </c:pt>
                <c:pt idx="2">
                  <c:v>2.2999999999999998</c:v>
                </c:pt>
                <c:pt idx="3">
                  <c:v>3.5</c:v>
                </c:pt>
              </c:numCache>
            </c:numRef>
          </c:val>
        </c:ser>
        <c:ser>
          <c:idx val="1"/>
          <c:order val="1"/>
          <c:tx>
            <c:strRef>
              <c:f>Այլ!$A$3</c:f>
              <c:strCache>
                <c:ptCount val="1"/>
                <c:pt idx="0">
                  <c:v>ԱՅԼ ԵԿԱՄՈՒՏՆԵՐ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Այլ!$B$1:$E$1</c:f>
              <c:strCache>
                <c:ptCount val="4"/>
                <c:pt idx="0">
                  <c:v>2014թ.</c:v>
                </c:pt>
                <c:pt idx="1">
                  <c:v>2015թ.  </c:v>
                </c:pt>
                <c:pt idx="2">
                  <c:v>2016թ. </c:v>
                </c:pt>
                <c:pt idx="3">
                  <c:v>2017թ. </c:v>
                </c:pt>
              </c:strCache>
            </c:strRef>
          </c:cat>
          <c:val>
            <c:numRef>
              <c:f>Այլ!$B$3:$E$3</c:f>
              <c:numCache>
                <c:formatCode>#,##0.0;[Red]#,##0.0</c:formatCode>
                <c:ptCount val="4"/>
                <c:pt idx="0">
                  <c:v>24.9</c:v>
                </c:pt>
                <c:pt idx="1">
                  <c:v>25.1</c:v>
                </c:pt>
                <c:pt idx="2">
                  <c:v>18.899999999999999</c:v>
                </c:pt>
                <c:pt idx="3">
                  <c:v>21.5</c:v>
                </c:pt>
              </c:numCache>
            </c:numRef>
          </c:val>
        </c:ser>
        <c:ser>
          <c:idx val="2"/>
          <c:order val="2"/>
          <c:tx>
            <c:strRef>
              <c:f>Այլ!$A$4</c:f>
              <c:strCache>
                <c:ptCount val="1"/>
                <c:pt idx="0">
                  <c:v>ԱՐՏԱԲՅՈՒՋԵՏԱՅԻՆ ՄԻՋՈՑՆԵՐ-ԸՆԴԱՄԵՆԸ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Այլ!$B$1:$E$1</c:f>
              <c:strCache>
                <c:ptCount val="4"/>
                <c:pt idx="0">
                  <c:v>2014թ.</c:v>
                </c:pt>
                <c:pt idx="1">
                  <c:v>2015թ.  </c:v>
                </c:pt>
                <c:pt idx="2">
                  <c:v>2016թ. </c:v>
                </c:pt>
                <c:pt idx="3">
                  <c:v>2017թ. </c:v>
                </c:pt>
              </c:strCache>
            </c:strRef>
          </c:cat>
          <c:val>
            <c:numRef>
              <c:f>Այլ!$B$4:$E$4</c:f>
              <c:numCache>
                <c:formatCode>0.00_);\(0.00\)</c:formatCode>
                <c:ptCount val="4"/>
                <c:pt idx="0">
                  <c:v>11.8</c:v>
                </c:pt>
                <c:pt idx="1">
                  <c:v>11.6</c:v>
                </c:pt>
                <c:pt idx="2">
                  <c:v>10.3</c:v>
                </c:pt>
                <c:pt idx="3">
                  <c:v>11.6</c:v>
                </c:pt>
              </c:numCache>
            </c:numRef>
          </c:val>
        </c:ser>
        <c:dLbls>
          <c:showVal val="1"/>
        </c:dLbls>
        <c:overlap val="-25"/>
        <c:axId val="70885376"/>
        <c:axId val="70886912"/>
      </c:barChart>
      <c:catAx>
        <c:axId val="708853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70886912"/>
        <c:crosses val="autoZero"/>
        <c:auto val="1"/>
        <c:lblAlgn val="ctr"/>
        <c:lblOffset val="100"/>
      </c:catAx>
      <c:valAx>
        <c:axId val="70886912"/>
        <c:scaling>
          <c:orientation val="minMax"/>
        </c:scaling>
        <c:delete val="1"/>
        <c:axPos val="l"/>
        <c:numFmt formatCode="#,##0.0;[Red]#,##0.0" sourceLinked="1"/>
        <c:majorTickMark val="none"/>
        <c:tickLblPos val="nextTo"/>
        <c:crossAx val="70885376"/>
        <c:crosses val="autoZero"/>
        <c:crossBetween val="between"/>
      </c:valAx>
    </c:plotArea>
    <c:legend>
      <c:legendPos val="t"/>
      <c:txPr>
        <a:bodyPr/>
        <a:lstStyle/>
        <a:p>
          <a:pPr algn="ctr" rtl="0">
            <a:defRPr lang="en-US" sz="900" b="0" i="0" u="none" strike="noStrike" kern="1200" baseline="0">
              <a:solidFill>
                <a:sysClr val="windowText" lastClr="000000"/>
              </a:solidFill>
              <a:latin typeface="GHEA Grapalat" pitchFamily="50" charset="0"/>
              <a:ea typeface="+mn-ea"/>
              <a:cs typeface="+mn-cs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2017-07-06T10:12:00Z</cp:lastPrinted>
  <dcterms:created xsi:type="dcterms:W3CDTF">2017-06-06T08:59:00Z</dcterms:created>
  <dcterms:modified xsi:type="dcterms:W3CDTF">2017-07-06T10:14:00Z</dcterms:modified>
</cp:coreProperties>
</file>