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714166" w:rsidRDefault="00173A69" w:rsidP="00691BBD">
      <w:pPr>
        <w:spacing w:after="0" w:line="360" w:lineRule="auto"/>
        <w:jc w:val="right"/>
        <w:rPr>
          <w:rFonts w:ascii="GHEA Grapalat" w:hAnsi="GHEA Grapalat"/>
          <w:b/>
          <w:i/>
          <w:sz w:val="16"/>
          <w:szCs w:val="16"/>
        </w:rPr>
      </w:pP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Պատրաստված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է </w:t>
      </w:r>
      <w:r w:rsidR="00EE330C" w:rsidRPr="00714166">
        <w:rPr>
          <w:rFonts w:ascii="GHEA Grapalat" w:hAnsi="GHEA Grapalat"/>
          <w:b/>
          <w:i/>
          <w:sz w:val="16"/>
          <w:szCs w:val="16"/>
        </w:rPr>
        <w:t xml:space="preserve">ՀՀ </w:t>
      </w:r>
      <w:r w:rsidRPr="00714166">
        <w:rPr>
          <w:rFonts w:ascii="GHEA Grapalat" w:hAnsi="GHEA Grapalat"/>
          <w:b/>
          <w:i/>
          <w:sz w:val="16"/>
          <w:szCs w:val="16"/>
        </w:rPr>
        <w:t xml:space="preserve">ԱԺ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բյուջետային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գրասենյակի</w:t>
      </w:r>
      <w:proofErr w:type="spellEnd"/>
      <w:r w:rsidRPr="00714166">
        <w:rPr>
          <w:rFonts w:ascii="GHEA Grapalat" w:hAnsi="GHEA Grapalat"/>
          <w:b/>
          <w:i/>
          <w:sz w:val="16"/>
          <w:szCs w:val="16"/>
        </w:rPr>
        <w:t xml:space="preserve"> </w:t>
      </w:r>
      <w:proofErr w:type="spellStart"/>
      <w:r w:rsidRPr="00714166">
        <w:rPr>
          <w:rFonts w:ascii="GHEA Grapalat" w:hAnsi="GHEA Grapalat"/>
          <w:b/>
          <w:i/>
          <w:sz w:val="16"/>
          <w:szCs w:val="16"/>
        </w:rPr>
        <w:t>կողմից</w:t>
      </w:r>
      <w:proofErr w:type="spellEnd"/>
    </w:p>
    <w:p w:rsidR="00173A69" w:rsidRPr="003314D4" w:rsidRDefault="00691BBD" w:rsidP="009A5C6E">
      <w:pPr>
        <w:tabs>
          <w:tab w:val="left" w:pos="-180"/>
        </w:tabs>
        <w:spacing w:after="0" w:line="240" w:lineRule="auto"/>
        <w:ind w:left="-90" w:firstLine="9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3314D4">
        <w:rPr>
          <w:rFonts w:ascii="GHEA Grapalat" w:eastAsia="Times New Roman" w:hAnsi="GHEA Grapalat" w:cs="Arial"/>
          <w:b/>
          <w:bCs/>
          <w:sz w:val="24"/>
          <w:szCs w:val="24"/>
        </w:rPr>
        <w:t>ՏԵՂԵԿԱՆՔ</w:t>
      </w:r>
    </w:p>
    <w:p w:rsidR="00691BBD" w:rsidRPr="007B05AA" w:rsidRDefault="007B05AA" w:rsidP="007B05AA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proofErr w:type="gramStart"/>
      <w:r>
        <w:rPr>
          <w:rFonts w:ascii="GHEA Grapalat" w:eastAsia="Times New Roman" w:hAnsi="GHEA Grapalat" w:cs="Arial"/>
          <w:b/>
          <w:sz w:val="24"/>
          <w:szCs w:val="24"/>
        </w:rPr>
        <w:t>ՀՀ</w:t>
      </w:r>
      <w:r w:rsidR="00BB0E30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2017-2018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թթ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.</w:t>
      </w:r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պետական</w:t>
      </w:r>
      <w:proofErr w:type="spellEnd"/>
      <w:proofErr w:type="gram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բյուջեների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եկամուտների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վերաբերյալ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 xml:space="preserve"> (</w:t>
      </w:r>
      <w:proofErr w:type="spellStart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հունվար</w:t>
      </w:r>
      <w:r w:rsidR="001C314C" w:rsidRPr="003314D4">
        <w:rPr>
          <w:rFonts w:ascii="GHEA Grapalat" w:eastAsia="Times New Roman" w:hAnsi="GHEA Grapalat" w:cs="Arial"/>
          <w:b/>
          <w:sz w:val="24"/>
          <w:szCs w:val="24"/>
        </w:rPr>
        <w:t>-</w:t>
      </w:r>
      <w:r w:rsidR="00CF5EDF" w:rsidRPr="003314D4">
        <w:rPr>
          <w:rFonts w:ascii="GHEA Grapalat" w:eastAsia="Times New Roman" w:hAnsi="GHEA Grapalat" w:cs="Arial"/>
          <w:b/>
          <w:sz w:val="24"/>
          <w:szCs w:val="24"/>
        </w:rPr>
        <w:t>մայիս</w:t>
      </w:r>
      <w:proofErr w:type="spellEnd"/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)`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D72992" w:rsidRPr="003314D4">
        <w:rPr>
          <w:rFonts w:ascii="GHEA Grapalat" w:eastAsia="Times New Roman" w:hAnsi="GHEA Grapalat" w:cs="Arial"/>
          <w:b/>
          <w:sz w:val="24"/>
          <w:szCs w:val="24"/>
        </w:rPr>
        <w:t>գ</w:t>
      </w:r>
      <w:r w:rsidR="00691BBD" w:rsidRPr="003314D4">
        <w:rPr>
          <w:rFonts w:ascii="GHEA Grapalat" w:eastAsia="Times New Roman" w:hAnsi="GHEA Grapalat" w:cs="Arial"/>
          <w:b/>
          <w:sz w:val="24"/>
          <w:szCs w:val="24"/>
        </w:rPr>
        <w:t>ծապատկերներով</w:t>
      </w:r>
      <w:proofErr w:type="spellEnd"/>
      <w:r w:rsidR="005B32B8" w:rsidRPr="008D6554">
        <w:rPr>
          <w:rFonts w:ascii="GHEA Grapalat" w:eastAsia="Times New Roman" w:hAnsi="GHEA Grapalat" w:cs="Arial"/>
          <w:b/>
          <w:sz w:val="20"/>
          <w:szCs w:val="20"/>
        </w:rPr>
        <w:t xml:space="preserve">  </w:t>
      </w:r>
      <w:r w:rsidR="00A261CA" w:rsidRPr="008D6554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A261CA">
        <w:rPr>
          <w:rFonts w:ascii="GHEA Grapalat" w:eastAsia="Times New Roman" w:hAnsi="GHEA Grapalat" w:cs="Arial"/>
          <w:sz w:val="24"/>
          <w:szCs w:val="24"/>
        </w:rPr>
        <w:t xml:space="preserve">       </w:t>
      </w:r>
      <w:r w:rsidR="005B32B8" w:rsidRPr="00702225">
        <w:rPr>
          <w:rFonts w:ascii="GHEA Grapalat" w:eastAsia="Times New Roman" w:hAnsi="GHEA Grapalat" w:cs="Arial"/>
          <w:sz w:val="24"/>
          <w:szCs w:val="24"/>
        </w:rPr>
        <w:t xml:space="preserve">                   </w:t>
      </w:r>
    </w:p>
    <w:p w:rsidR="00B71918" w:rsidRPr="003314D4" w:rsidRDefault="00B71918" w:rsidP="003314D4">
      <w:pPr>
        <w:spacing w:after="0" w:line="240" w:lineRule="auto"/>
        <w:jc w:val="center"/>
        <w:rPr>
          <w:rFonts w:ascii="GHEA Grapalat" w:eastAsia="Times New Roman" w:hAnsi="GHEA Grapalat" w:cs="Arial"/>
          <w:b/>
          <w:color w:val="FF0000"/>
          <w:sz w:val="8"/>
          <w:szCs w:val="8"/>
        </w:rPr>
      </w:pPr>
    </w:p>
    <w:p w:rsidR="00866A82" w:rsidRPr="00F22D92" w:rsidRDefault="00F22D92" w:rsidP="003314D4">
      <w:pPr>
        <w:jc w:val="center"/>
        <w:rPr>
          <w:rFonts w:ascii="GHEA Grapalat" w:hAnsi="GHEA Grapalat" w:cs="Sylfaen"/>
          <w:b/>
          <w:color w:val="FF0000"/>
          <w:sz w:val="20"/>
          <w:szCs w:val="20"/>
        </w:rPr>
      </w:pPr>
      <w:r>
        <w:rPr>
          <w:rFonts w:ascii="GHEA Grapalat" w:hAnsi="GHEA Grapalat" w:cs="Sylfaen"/>
          <w:b/>
          <w:color w:val="FF0000"/>
          <w:sz w:val="20"/>
          <w:szCs w:val="20"/>
        </w:rPr>
        <w:t>(</w:t>
      </w:r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2018 թ.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հունվարի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1-ից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ուժի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մեջ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է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մտել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ՀՀ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հարկային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օրենսգիրքը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,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ինչը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հնարավորություն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չի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proofErr w:type="gram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ընձեռում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 2018</w:t>
      </w:r>
      <w:proofErr w:type="gram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թ.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ամսեկան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եկամուտների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ցուցանիշները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համադրել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նախորդ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տարիների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ցուցանիշների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 xml:space="preserve"> </w:t>
      </w:r>
      <w:proofErr w:type="spellStart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հետ</w:t>
      </w:r>
      <w:proofErr w:type="spellEnd"/>
      <w:r w:rsidR="003314D4" w:rsidRPr="00F22D92">
        <w:rPr>
          <w:rFonts w:ascii="GHEA Grapalat" w:hAnsi="GHEA Grapalat" w:cs="Sylfaen"/>
          <w:b/>
          <w:color w:val="FF0000"/>
          <w:sz w:val="20"/>
          <w:szCs w:val="20"/>
        </w:rPr>
        <w:t>: *</w:t>
      </w:r>
      <w:r>
        <w:rPr>
          <w:rFonts w:ascii="GHEA Grapalat" w:hAnsi="GHEA Grapalat" w:cs="Sylfaen"/>
          <w:b/>
          <w:color w:val="FF0000"/>
          <w:sz w:val="20"/>
          <w:szCs w:val="20"/>
        </w:rPr>
        <w:t>)</w:t>
      </w:r>
    </w:p>
    <w:p w:rsidR="00A24C4C" w:rsidRDefault="00961B45">
      <w:pPr>
        <w:rPr>
          <w:rFonts w:ascii="GHEA Grapalat" w:hAnsi="GHEA Grapalat" w:cs="Sylfaen"/>
        </w:rPr>
      </w:pPr>
      <w:r w:rsidRPr="00961B45">
        <w:rPr>
          <w:rFonts w:ascii="GHEA Grapalat" w:hAnsi="GHEA Grapalat" w:cs="Sylfaen"/>
          <w:noProof/>
        </w:rPr>
        <w:drawing>
          <wp:inline distT="0" distB="0" distL="0" distR="0">
            <wp:extent cx="4505325" cy="26670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036AA">
        <w:rPr>
          <w:rFonts w:ascii="GHEA Grapalat" w:hAnsi="GHEA Grapalat" w:cs="Sylfaen"/>
        </w:rPr>
        <w:t xml:space="preserve">   </w:t>
      </w:r>
      <w:r w:rsidR="00E036AA" w:rsidRPr="00E036AA">
        <w:rPr>
          <w:rFonts w:ascii="GHEA Grapalat" w:hAnsi="GHEA Grapalat" w:cs="Sylfaen"/>
          <w:noProof/>
        </w:rPr>
        <w:drawing>
          <wp:inline distT="0" distB="0" distL="0" distR="0">
            <wp:extent cx="4505325" cy="2667000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4C4C" w:rsidRDefault="00DA6B20">
      <w:pPr>
        <w:rPr>
          <w:rFonts w:ascii="GHEA Grapalat" w:hAnsi="GHEA Grapalat" w:cs="Sylfaen"/>
        </w:rPr>
      </w:pPr>
      <w:r w:rsidRPr="00DA6B20">
        <w:rPr>
          <w:rFonts w:ascii="GHEA Grapalat" w:hAnsi="GHEA Grapalat" w:cs="Sylfaen"/>
          <w:noProof/>
        </w:rPr>
        <w:drawing>
          <wp:inline distT="0" distB="0" distL="0" distR="0">
            <wp:extent cx="4505325" cy="2743200"/>
            <wp:effectExtent l="19050" t="0" r="9525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B05AA">
        <w:rPr>
          <w:rFonts w:ascii="GHEA Grapalat" w:hAnsi="GHEA Grapalat" w:cs="Sylfaen"/>
        </w:rPr>
        <w:t xml:space="preserve">   </w:t>
      </w:r>
      <w:r w:rsidR="007B05AA" w:rsidRPr="007B05AA">
        <w:rPr>
          <w:rFonts w:ascii="GHEA Grapalat" w:hAnsi="GHEA Grapalat" w:cs="Sylfaen"/>
          <w:noProof/>
        </w:rPr>
        <w:drawing>
          <wp:inline distT="0" distB="0" distL="0" distR="0">
            <wp:extent cx="455295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683FE4" w:rsidRDefault="00B71918" w:rsidP="00B71918">
      <w:pPr>
        <w:spacing w:after="0" w:line="240" w:lineRule="auto"/>
        <w:rPr>
          <w:rFonts w:ascii="GHEA Grapalat" w:hAnsi="GHEA Grapalat"/>
          <w:sz w:val="16"/>
          <w:szCs w:val="16"/>
        </w:rPr>
      </w:pP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Տեղեկատվության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աղբյուրներ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են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հանդիսացել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ֆինանսների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նախարարության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ինտերնետային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կայքում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հրապարակված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="00F36205">
        <w:rPr>
          <w:rFonts w:ascii="GHEA Grapalat" w:hAnsi="GHEA Grapalat"/>
          <w:b/>
          <w:sz w:val="16"/>
          <w:szCs w:val="16"/>
        </w:rPr>
        <w:t>2017</w:t>
      </w:r>
      <w:r w:rsidR="005A7921" w:rsidRPr="00683FE4">
        <w:rPr>
          <w:rFonts w:ascii="GHEA Grapalat" w:hAnsi="GHEA Grapalat"/>
          <w:b/>
          <w:sz w:val="16"/>
          <w:szCs w:val="16"/>
        </w:rPr>
        <w:t>-201</w:t>
      </w:r>
      <w:r w:rsidR="00F36205">
        <w:rPr>
          <w:rFonts w:ascii="GHEA Grapalat" w:hAnsi="GHEA Grapalat"/>
          <w:b/>
          <w:sz w:val="16"/>
          <w:szCs w:val="16"/>
        </w:rPr>
        <w:t>8</w:t>
      </w:r>
      <w:r w:rsidR="005A7921"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5A7921" w:rsidRPr="00683FE4">
        <w:rPr>
          <w:rFonts w:ascii="GHEA Grapalat" w:hAnsi="GHEA Grapalat" w:cs="Sylfaen"/>
          <w:b/>
          <w:sz w:val="16"/>
          <w:szCs w:val="16"/>
        </w:rPr>
        <w:t>թթ</w:t>
      </w:r>
      <w:proofErr w:type="spellEnd"/>
      <w:r w:rsidR="005A7921" w:rsidRPr="00683FE4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</w:t>
      </w:r>
      <w:r w:rsidR="005A7921" w:rsidRPr="00683FE4">
        <w:rPr>
          <w:rFonts w:ascii="GHEA Grapalat" w:hAnsi="GHEA Grapalat" w:cs="Sylfaen"/>
          <w:b/>
          <w:sz w:val="16"/>
          <w:szCs w:val="16"/>
        </w:rPr>
        <w:t>ներ</w:t>
      </w:r>
      <w:r w:rsidRPr="00683FE4">
        <w:rPr>
          <w:rFonts w:ascii="GHEA Grapalat" w:hAnsi="GHEA Grapalat" w:cs="Sylfaen"/>
          <w:b/>
          <w:sz w:val="16"/>
          <w:szCs w:val="16"/>
        </w:rPr>
        <w:t>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կատարման</w:t>
      </w:r>
      <w:proofErr w:type="spellEnd"/>
      <w:r w:rsidR="00657CA8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="001C314C">
        <w:rPr>
          <w:rFonts w:ascii="GHEA Grapalat" w:hAnsi="GHEA Grapalat" w:cs="Sylfaen"/>
          <w:b/>
          <w:sz w:val="16"/>
          <w:szCs w:val="16"/>
        </w:rPr>
        <w:t>փետրվար</w:t>
      </w:r>
      <w:proofErr w:type="spellEnd"/>
      <w:r w:rsidR="001C314C">
        <w:rPr>
          <w:rFonts w:ascii="GHEA Grapalat" w:hAnsi="GHEA Grapalat" w:cs="Sylfaen"/>
          <w:b/>
          <w:sz w:val="16"/>
          <w:szCs w:val="16"/>
        </w:rPr>
        <w:t xml:space="preserve"> </w:t>
      </w:r>
      <w:r w:rsidR="00D61722">
        <w:rPr>
          <w:rFonts w:ascii="GHEA Grapalat" w:hAnsi="GHEA Grapalat" w:cs="Sylfaen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ամսվա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ամփոփ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բնութագրերը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r w:rsidRPr="00683FE4">
        <w:rPr>
          <w:rFonts w:ascii="GHEA Grapalat" w:hAnsi="GHEA Grapalat" w:cs="Sylfaen"/>
          <w:b/>
          <w:sz w:val="16"/>
          <w:szCs w:val="16"/>
        </w:rPr>
        <w:t>և</w:t>
      </w:r>
      <w:r w:rsidRPr="00683FE4">
        <w:rPr>
          <w:rFonts w:ascii="GHEA Grapalat" w:hAnsi="GHEA Grapalat"/>
          <w:b/>
          <w:sz w:val="16"/>
          <w:szCs w:val="16"/>
        </w:rPr>
        <w:t xml:space="preserve"> «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201</w:t>
      </w:r>
      <w:r w:rsidR="00CF5EDF">
        <w:rPr>
          <w:rFonts w:ascii="GHEA Grapalat" w:hAnsi="GHEA Grapalat"/>
          <w:b/>
          <w:sz w:val="16"/>
          <w:szCs w:val="16"/>
        </w:rPr>
        <w:t>8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պետական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բյուջեի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կատարումն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ապահովող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միջոցառումների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մասին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»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Հայաստանի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Հանրապետության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կառավարության</w:t>
      </w:r>
      <w:proofErr w:type="spellEnd"/>
      <w:r w:rsidR="00702225">
        <w:rPr>
          <w:rFonts w:ascii="GHEA Grapalat" w:hAnsi="GHEA Grapalat"/>
          <w:b/>
          <w:sz w:val="16"/>
          <w:szCs w:val="16"/>
        </w:rPr>
        <w:t xml:space="preserve"> 28.12.2017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թվականի</w:t>
      </w:r>
      <w:proofErr w:type="spellEnd"/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թիվ</w:t>
      </w:r>
      <w:proofErr w:type="spellEnd"/>
      <w:r w:rsidR="00702225">
        <w:rPr>
          <w:rFonts w:ascii="GHEA Grapalat" w:hAnsi="GHEA Grapalat"/>
          <w:b/>
          <w:sz w:val="16"/>
          <w:szCs w:val="16"/>
        </w:rPr>
        <w:t xml:space="preserve"> 17</w:t>
      </w:r>
      <w:r w:rsidRPr="00683FE4">
        <w:rPr>
          <w:rFonts w:ascii="GHEA Grapalat" w:hAnsi="GHEA Grapalat"/>
          <w:b/>
          <w:sz w:val="16"/>
          <w:szCs w:val="16"/>
        </w:rPr>
        <w:t>1</w:t>
      </w:r>
      <w:r w:rsidR="00702225">
        <w:rPr>
          <w:rFonts w:ascii="GHEA Grapalat" w:hAnsi="GHEA Grapalat"/>
          <w:b/>
          <w:sz w:val="16"/>
          <w:szCs w:val="16"/>
        </w:rPr>
        <w:t>7</w:t>
      </w:r>
      <w:r w:rsidRPr="00683FE4">
        <w:rPr>
          <w:rFonts w:ascii="GHEA Grapalat" w:hAnsi="GHEA Grapalat"/>
          <w:b/>
          <w:sz w:val="16"/>
          <w:szCs w:val="16"/>
        </w:rPr>
        <w:t>-</w:t>
      </w:r>
      <w:r w:rsidRPr="00683FE4">
        <w:rPr>
          <w:rFonts w:ascii="GHEA Grapalat" w:hAnsi="GHEA Grapalat" w:cs="Sylfaen"/>
          <w:b/>
          <w:sz w:val="16"/>
          <w:szCs w:val="16"/>
        </w:rPr>
        <w:t>Ն</w:t>
      </w:r>
      <w:r w:rsidRPr="00683FE4">
        <w:rPr>
          <w:rFonts w:ascii="GHEA Grapalat" w:hAnsi="GHEA Grapalat"/>
          <w:b/>
          <w:sz w:val="16"/>
          <w:szCs w:val="16"/>
        </w:rPr>
        <w:t xml:space="preserve"> </w:t>
      </w:r>
      <w:proofErr w:type="spellStart"/>
      <w:r w:rsidRPr="00683FE4">
        <w:rPr>
          <w:rFonts w:ascii="GHEA Grapalat" w:hAnsi="GHEA Grapalat" w:cs="Sylfaen"/>
          <w:b/>
          <w:sz w:val="16"/>
          <w:szCs w:val="16"/>
        </w:rPr>
        <w:t>որոշումը</w:t>
      </w:r>
      <w:proofErr w:type="spellEnd"/>
    </w:p>
    <w:sectPr w:rsidR="00D25DF0" w:rsidRPr="00683FE4" w:rsidSect="00E036AA">
      <w:pgSz w:w="15840" w:h="12240" w:orient="landscape"/>
      <w:pgMar w:top="45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0686A"/>
    <w:rsid w:val="00073787"/>
    <w:rsid w:val="000872D6"/>
    <w:rsid w:val="000B64F2"/>
    <w:rsid w:val="00113D8C"/>
    <w:rsid w:val="00116141"/>
    <w:rsid w:val="0016256A"/>
    <w:rsid w:val="00163C38"/>
    <w:rsid w:val="00173A69"/>
    <w:rsid w:val="00180890"/>
    <w:rsid w:val="0019261D"/>
    <w:rsid w:val="0019674F"/>
    <w:rsid w:val="001A2909"/>
    <w:rsid w:val="001C314C"/>
    <w:rsid w:val="001F75CD"/>
    <w:rsid w:val="002272E5"/>
    <w:rsid w:val="00230D6A"/>
    <w:rsid w:val="00256212"/>
    <w:rsid w:val="00283215"/>
    <w:rsid w:val="00291EAC"/>
    <w:rsid w:val="002C450F"/>
    <w:rsid w:val="003314D4"/>
    <w:rsid w:val="003903FB"/>
    <w:rsid w:val="003B3391"/>
    <w:rsid w:val="003C04F6"/>
    <w:rsid w:val="003C5FED"/>
    <w:rsid w:val="003C620F"/>
    <w:rsid w:val="003E3CEE"/>
    <w:rsid w:val="00453866"/>
    <w:rsid w:val="00493531"/>
    <w:rsid w:val="004A0252"/>
    <w:rsid w:val="004C2632"/>
    <w:rsid w:val="004D1EF0"/>
    <w:rsid w:val="00510552"/>
    <w:rsid w:val="00526BC2"/>
    <w:rsid w:val="005370AE"/>
    <w:rsid w:val="005768CB"/>
    <w:rsid w:val="00577BCF"/>
    <w:rsid w:val="0058408A"/>
    <w:rsid w:val="005A3724"/>
    <w:rsid w:val="005A6FB5"/>
    <w:rsid w:val="005A7921"/>
    <w:rsid w:val="005B32B8"/>
    <w:rsid w:val="005E0FD9"/>
    <w:rsid w:val="005F01F7"/>
    <w:rsid w:val="00605C18"/>
    <w:rsid w:val="00657CA8"/>
    <w:rsid w:val="00674204"/>
    <w:rsid w:val="00683FE4"/>
    <w:rsid w:val="00691724"/>
    <w:rsid w:val="00691BBD"/>
    <w:rsid w:val="006A139C"/>
    <w:rsid w:val="006A7C1F"/>
    <w:rsid w:val="006E7C57"/>
    <w:rsid w:val="00702225"/>
    <w:rsid w:val="007112B3"/>
    <w:rsid w:val="00714166"/>
    <w:rsid w:val="00725F45"/>
    <w:rsid w:val="007263E2"/>
    <w:rsid w:val="00743126"/>
    <w:rsid w:val="00751C9B"/>
    <w:rsid w:val="007833A4"/>
    <w:rsid w:val="00790D70"/>
    <w:rsid w:val="007A07FF"/>
    <w:rsid w:val="007A30C5"/>
    <w:rsid w:val="007B05AA"/>
    <w:rsid w:val="007E157D"/>
    <w:rsid w:val="008348A9"/>
    <w:rsid w:val="00845E5A"/>
    <w:rsid w:val="00857A72"/>
    <w:rsid w:val="00866A82"/>
    <w:rsid w:val="008D4C7E"/>
    <w:rsid w:val="008D6554"/>
    <w:rsid w:val="008E60C4"/>
    <w:rsid w:val="008F6ADD"/>
    <w:rsid w:val="00902412"/>
    <w:rsid w:val="009056F8"/>
    <w:rsid w:val="00906274"/>
    <w:rsid w:val="0093464C"/>
    <w:rsid w:val="00934C96"/>
    <w:rsid w:val="0095789A"/>
    <w:rsid w:val="00961B45"/>
    <w:rsid w:val="009A5C6E"/>
    <w:rsid w:val="009B73B8"/>
    <w:rsid w:val="009D633F"/>
    <w:rsid w:val="009E53E4"/>
    <w:rsid w:val="00A24485"/>
    <w:rsid w:val="00A24C4C"/>
    <w:rsid w:val="00A261CA"/>
    <w:rsid w:val="00A31794"/>
    <w:rsid w:val="00A54DB0"/>
    <w:rsid w:val="00A6161B"/>
    <w:rsid w:val="00A824BA"/>
    <w:rsid w:val="00A855AE"/>
    <w:rsid w:val="00AA5EF0"/>
    <w:rsid w:val="00AC1091"/>
    <w:rsid w:val="00AD3113"/>
    <w:rsid w:val="00AE615B"/>
    <w:rsid w:val="00B33D18"/>
    <w:rsid w:val="00B53F72"/>
    <w:rsid w:val="00B60913"/>
    <w:rsid w:val="00B71918"/>
    <w:rsid w:val="00B728BF"/>
    <w:rsid w:val="00B93572"/>
    <w:rsid w:val="00BA4DE7"/>
    <w:rsid w:val="00BB0E30"/>
    <w:rsid w:val="00C5174D"/>
    <w:rsid w:val="00C5622D"/>
    <w:rsid w:val="00C90DAB"/>
    <w:rsid w:val="00CA6F13"/>
    <w:rsid w:val="00CB7BF1"/>
    <w:rsid w:val="00CD48BD"/>
    <w:rsid w:val="00CE73D3"/>
    <w:rsid w:val="00CF5EDF"/>
    <w:rsid w:val="00CF72D9"/>
    <w:rsid w:val="00D03A5C"/>
    <w:rsid w:val="00D231D5"/>
    <w:rsid w:val="00D25867"/>
    <w:rsid w:val="00D25DF0"/>
    <w:rsid w:val="00D43B7C"/>
    <w:rsid w:val="00D55707"/>
    <w:rsid w:val="00D61722"/>
    <w:rsid w:val="00D72992"/>
    <w:rsid w:val="00D8573C"/>
    <w:rsid w:val="00DA6B20"/>
    <w:rsid w:val="00DC6619"/>
    <w:rsid w:val="00E036AA"/>
    <w:rsid w:val="00E17119"/>
    <w:rsid w:val="00E54B68"/>
    <w:rsid w:val="00E80926"/>
    <w:rsid w:val="00E91C9A"/>
    <w:rsid w:val="00EB23A8"/>
    <w:rsid w:val="00ED0557"/>
    <w:rsid w:val="00EE330C"/>
    <w:rsid w:val="00F07CF6"/>
    <w:rsid w:val="00F22D92"/>
    <w:rsid w:val="00F3019B"/>
    <w:rsid w:val="00F36205"/>
    <w:rsid w:val="00F51F9A"/>
    <w:rsid w:val="00F73DAE"/>
    <w:rsid w:val="00F834C1"/>
    <w:rsid w:val="00F83BD7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may%202018\hunvar-mais%20-chart%20bas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may%202018\hunvar-mais%20-chart%20bas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may%202018\hunvar-mais%20-chart%20bas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PBO%202018\amsekan%20texekanqner\ASHOT%20AVETISYAN\&#1333;&#1343;&#1329;&#1348;&#1352;&#1362;&#1359;&#1350;&#1333;&#1360;%202018\may%202018\hunvar-mais%20-chart%20bas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2018</a:t>
            </a:r>
            <a:r>
              <a:rPr lang="en-US" sz="1200" baseline="0"/>
              <a:t> թ. պ</a:t>
            </a:r>
            <a:r>
              <a:rPr lang="en-US" sz="1200"/>
              <a:t>ետական բյուջեի եկամուտներ </a:t>
            </a:r>
            <a:r>
              <a:rPr lang="en-US" sz="1050"/>
              <a:t>(մլրդ</a:t>
            </a:r>
            <a:r>
              <a:rPr lang="en-US" sz="1050" baseline="0"/>
              <a:t> </a:t>
            </a:r>
            <a:r>
              <a:rPr lang="en-US" sz="1050"/>
              <a:t> դրամ)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Sheet1!$B$7</c:f>
              <c:strCache>
                <c:ptCount val="1"/>
                <c:pt idx="0">
                  <c:v>2018թ. (1-ին կիսամյակ (հաստատված))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Sheet1!$A$8:$A$11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Sheet1!$B$8:$B$11</c:f>
              <c:numCache>
                <c:formatCode>#,##0.0;[Red]#,##0.0</c:formatCode>
                <c:ptCount val="4"/>
                <c:pt idx="0">
                  <c:v>602.6</c:v>
                </c:pt>
                <c:pt idx="1">
                  <c:v>574.9</c:v>
                </c:pt>
                <c:pt idx="2">
                  <c:v>16.100000000000001</c:v>
                </c:pt>
                <c:pt idx="3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Sheet1!$C$7</c:f>
              <c:strCache>
                <c:ptCount val="1"/>
                <c:pt idx="0">
                  <c:v>2018թ. (հունվար-մայիս,փաստացի)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Sheet1!$A$8:$A$11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Sheet1!$C$8:$C$11</c:f>
              <c:numCache>
                <c:formatCode>#,##0.0;[Red]#,##0.0</c:formatCode>
                <c:ptCount val="4"/>
                <c:pt idx="0">
                  <c:v>479.2</c:v>
                </c:pt>
                <c:pt idx="1">
                  <c:v>451.4</c:v>
                </c:pt>
                <c:pt idx="2">
                  <c:v>3.5</c:v>
                </c:pt>
                <c:pt idx="3">
                  <c:v>24.3</c:v>
                </c:pt>
              </c:numCache>
            </c:numRef>
          </c:val>
        </c:ser>
        <c:gapWidth val="75"/>
        <c:overlap val="-25"/>
        <c:axId val="61531264"/>
        <c:axId val="61532800"/>
      </c:barChart>
      <c:catAx>
        <c:axId val="61531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61532800"/>
        <c:crosses val="autoZero"/>
        <c:auto val="1"/>
        <c:lblAlgn val="ctr"/>
        <c:lblOffset val="100"/>
      </c:catAx>
      <c:valAx>
        <c:axId val="6153280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1531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792213473315819E-2"/>
          <c:y val="0.86728783902012263"/>
          <c:w val="0.98119313210848724"/>
          <c:h val="0.10493438320209973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2017-2018 թթ. պետական բյուջեների եկամուտներ</a:t>
            </a:r>
            <a:r>
              <a:rPr lang="en-US" sz="1200" baseline="0"/>
              <a:t> </a:t>
            </a:r>
            <a:r>
              <a:rPr lang="en-US" sz="1050" baseline="0"/>
              <a:t>(</a:t>
            </a:r>
            <a:r>
              <a:rPr lang="en-US" sz="1050"/>
              <a:t>մլրդ դրամ)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Sheet2!$C$17</c:f>
              <c:strCache>
                <c:ptCount val="1"/>
                <c:pt idx="0">
                  <c:v>2017թ. (հունվար-մայիս, փաստացի)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Val val="1"/>
          </c:dLbls>
          <c:cat>
            <c:strRef>
              <c:f>Sheet2!$B$18:$B$21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Sheet2!$C$18:$C$21</c:f>
              <c:numCache>
                <c:formatCode>#,##0.0;[Red]#,##0.0</c:formatCode>
                <c:ptCount val="4"/>
                <c:pt idx="0">
                  <c:v>480.5</c:v>
                </c:pt>
                <c:pt idx="1">
                  <c:v>455.5</c:v>
                </c:pt>
                <c:pt idx="2" formatCode="#,##0.00;[Red]#,##0.00">
                  <c:v>3.5</c:v>
                </c:pt>
                <c:pt idx="3">
                  <c:v>21.5</c:v>
                </c:pt>
              </c:numCache>
            </c:numRef>
          </c:val>
        </c:ser>
        <c:ser>
          <c:idx val="1"/>
          <c:order val="1"/>
          <c:tx>
            <c:strRef>
              <c:f>Sheet2!$D$17</c:f>
              <c:strCache>
                <c:ptCount val="1"/>
                <c:pt idx="0">
                  <c:v>2018թ. (հունվար-մայիս, փաստացի)*</c:v>
                </c:pt>
              </c:strCache>
            </c:strRef>
          </c:tx>
          <c:dLbls>
            <c:txPr>
              <a:bodyPr/>
              <a:lstStyle/>
              <a:p>
                <a:pPr algn="ctr">
                  <a:defRPr lang="en-US"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</c:dLbls>
          <c:cat>
            <c:strRef>
              <c:f>Sheet2!$B$18:$B$21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Sheet2!$D$18:$D$21</c:f>
              <c:numCache>
                <c:formatCode>#,##0.0;[Red]#,##0.0</c:formatCode>
                <c:ptCount val="4"/>
                <c:pt idx="0">
                  <c:v>479.2</c:v>
                </c:pt>
                <c:pt idx="1">
                  <c:v>451.4</c:v>
                </c:pt>
                <c:pt idx="2">
                  <c:v>3.5</c:v>
                </c:pt>
                <c:pt idx="3">
                  <c:v>24.3</c:v>
                </c:pt>
              </c:numCache>
            </c:numRef>
          </c:val>
        </c:ser>
        <c:gapWidth val="75"/>
        <c:overlap val="-25"/>
        <c:axId val="61645184"/>
        <c:axId val="61646720"/>
      </c:barChart>
      <c:catAx>
        <c:axId val="616451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/>
            </a:pPr>
            <a:endParaRPr lang="en-US"/>
          </a:p>
        </c:txPr>
        <c:crossAx val="61646720"/>
        <c:crosses val="autoZero"/>
        <c:auto val="1"/>
        <c:lblAlgn val="ctr"/>
        <c:lblOffset val="100"/>
      </c:catAx>
      <c:valAx>
        <c:axId val="6164672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1645184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1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/>
              <a:t>2017-2018 թթ. պետական բյուջեների եկամուտներ (մլրդ դրամ)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9480351414406533"/>
          <c:w val="0.84977559055118257"/>
          <c:h val="0.57199839603383018"/>
        </c:manualLayout>
      </c:layout>
      <c:barChart>
        <c:barDir val="col"/>
        <c:grouping val="clustered"/>
        <c:ser>
          <c:idx val="0"/>
          <c:order val="0"/>
          <c:tx>
            <c:strRef>
              <c:f>Sheet3!$C$4</c:f>
              <c:strCache>
                <c:ptCount val="1"/>
                <c:pt idx="0">
                  <c:v>2017թ. (հունվար-մայիս, փաստացի)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Sheet3!$B$5:$B$10</c:f>
              <c:strCache>
                <c:ptCount val="6"/>
                <c:pt idx="0">
                  <c:v>Հարկային եկամուտներ</c:v>
                </c:pt>
                <c:pt idx="1">
                  <c:v>ԱԱՀ</c:v>
                </c:pt>
                <c:pt idx="2">
                  <c:v>Ակցիզային հարկ</c:v>
                </c:pt>
                <c:pt idx="3">
                  <c:v>Շահութահարկ</c:v>
                </c:pt>
                <c:pt idx="4">
                  <c:v>Եկամտային հարկ</c:v>
                </c:pt>
                <c:pt idx="5">
                  <c:v>Մաքսատուրքեր</c:v>
                </c:pt>
              </c:strCache>
            </c:strRef>
          </c:cat>
          <c:val>
            <c:numRef>
              <c:f>Sheet3!$C$5:$C$10</c:f>
              <c:numCache>
                <c:formatCode>#,##0.0;[Red]#,##0.0</c:formatCode>
                <c:ptCount val="6"/>
                <c:pt idx="0">
                  <c:v>444.1</c:v>
                </c:pt>
                <c:pt idx="1">
                  <c:v>160.30000000000001</c:v>
                </c:pt>
                <c:pt idx="2">
                  <c:v>26.5</c:v>
                </c:pt>
                <c:pt idx="3">
                  <c:v>56.7</c:v>
                </c:pt>
                <c:pt idx="4">
                  <c:v>132.30000000000001</c:v>
                </c:pt>
                <c:pt idx="5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Sheet3!$D$4</c:f>
              <c:strCache>
                <c:ptCount val="1"/>
                <c:pt idx="0">
                  <c:v>2018թ. (հունվար-մայիս, փաստացի)*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Sheet3!$B$5:$B$10</c:f>
              <c:strCache>
                <c:ptCount val="6"/>
                <c:pt idx="0">
                  <c:v>Հարկային եկամուտներ</c:v>
                </c:pt>
                <c:pt idx="1">
                  <c:v>ԱԱՀ</c:v>
                </c:pt>
                <c:pt idx="2">
                  <c:v>Ակցիզային հարկ</c:v>
                </c:pt>
                <c:pt idx="3">
                  <c:v>Շահութահարկ</c:v>
                </c:pt>
                <c:pt idx="4">
                  <c:v>Եկամտային հարկ</c:v>
                </c:pt>
                <c:pt idx="5">
                  <c:v>Մաքսատուրքեր</c:v>
                </c:pt>
              </c:strCache>
            </c:strRef>
          </c:cat>
          <c:val>
            <c:numRef>
              <c:f>Sheet3!$D$5:$D$10</c:f>
              <c:numCache>
                <c:formatCode>#,##0.0;[Red]#,##0.0</c:formatCode>
                <c:ptCount val="6"/>
                <c:pt idx="0">
                  <c:v>439.2</c:v>
                </c:pt>
                <c:pt idx="1">
                  <c:v>160</c:v>
                </c:pt>
                <c:pt idx="2">
                  <c:v>38</c:v>
                </c:pt>
                <c:pt idx="3">
                  <c:v>72.900000000000006</c:v>
                </c:pt>
                <c:pt idx="4">
                  <c:v>140</c:v>
                </c:pt>
                <c:pt idx="5">
                  <c:v>32.4</c:v>
                </c:pt>
              </c:numCache>
            </c:numRef>
          </c:val>
        </c:ser>
        <c:gapWidth val="75"/>
        <c:overlap val="-25"/>
        <c:axId val="61685120"/>
        <c:axId val="61699200"/>
      </c:barChart>
      <c:catAx>
        <c:axId val="61685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0"/>
            </a:pPr>
            <a:endParaRPr lang="en-US"/>
          </a:p>
        </c:txPr>
        <c:crossAx val="61699200"/>
        <c:crosses val="autoZero"/>
        <c:auto val="1"/>
        <c:lblAlgn val="ctr"/>
        <c:lblOffset val="100"/>
      </c:catAx>
      <c:valAx>
        <c:axId val="6169920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1685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936570428696626E-3"/>
          <c:y val="0.89043598716827066"/>
          <c:w val="0.98067913385826777"/>
          <c:h val="9.5675123942840556E-2"/>
        </c:manualLayout>
      </c:layout>
      <c:txPr>
        <a:bodyPr/>
        <a:lstStyle/>
        <a:p>
          <a:pPr>
            <a:defRPr sz="900" b="1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/>
              <a:t>2017-2018 թթ. պետական բյուջեների եկամուտներ (մլրդ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.10558573928258985"/>
          <c:y val="0.19480351414406533"/>
          <c:w val="0.86385870516185481"/>
          <c:h val="0.57831000291630208"/>
        </c:manualLayout>
      </c:layout>
      <c:barChart>
        <c:barDir val="col"/>
        <c:grouping val="clustered"/>
        <c:ser>
          <c:idx val="0"/>
          <c:order val="0"/>
          <c:tx>
            <c:strRef>
              <c:f>Sheet4!$C$6</c:f>
              <c:strCache>
                <c:ptCount val="1"/>
                <c:pt idx="0">
                  <c:v>2017թ. (հունվար-մայիս, փաստացի)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Sheet4!$B$7:$B$12</c:f>
              <c:strCache>
                <c:ptCount val="6"/>
                <c:pt idx="0">
                  <c:v>Հաստատագրված վճարներ</c:v>
                </c:pt>
                <c:pt idx="1">
                  <c:v>Բնօգտագործման եվ բնապահպանական վճարներ</c:v>
                </c:pt>
                <c:pt idx="2">
                  <c:v>Շրջանառության հարկ</c:v>
                </c:pt>
                <c:pt idx="3">
                  <c:v>Սոցիալական վճարներ</c:v>
                </c:pt>
                <c:pt idx="4">
                  <c:v>Այլ հարկային եկամուտներ</c:v>
                </c:pt>
                <c:pt idx="5">
                  <c:v>Պետական տուրքեր</c:v>
                </c:pt>
              </c:strCache>
            </c:strRef>
          </c:cat>
          <c:val>
            <c:numRef>
              <c:f>Sheet4!$C$7:$C$12</c:f>
              <c:numCache>
                <c:formatCode>#,##0.0;[Red]#,##0.0</c:formatCode>
                <c:ptCount val="6"/>
                <c:pt idx="0">
                  <c:v>1.4</c:v>
                </c:pt>
                <c:pt idx="1">
                  <c:v>19.2</c:v>
                </c:pt>
                <c:pt idx="2">
                  <c:v>6.9</c:v>
                </c:pt>
                <c:pt idx="3">
                  <c:v>5.8</c:v>
                </c:pt>
                <c:pt idx="4">
                  <c:v>10.6</c:v>
                </c:pt>
                <c:pt idx="5">
                  <c:v>11.4</c:v>
                </c:pt>
              </c:numCache>
            </c:numRef>
          </c:val>
        </c:ser>
        <c:ser>
          <c:idx val="1"/>
          <c:order val="1"/>
          <c:tx>
            <c:strRef>
              <c:f>Sheet4!$D$6</c:f>
              <c:strCache>
                <c:ptCount val="1"/>
                <c:pt idx="0">
                  <c:v>2018թ. (հունվար-մայիս, փաստացի)*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Sheet4!$B$7:$B$12</c:f>
              <c:strCache>
                <c:ptCount val="6"/>
                <c:pt idx="0">
                  <c:v>Հաստատագրված վճարներ</c:v>
                </c:pt>
                <c:pt idx="1">
                  <c:v>Բնօգտագործման եվ բնապահպանական վճարներ</c:v>
                </c:pt>
                <c:pt idx="2">
                  <c:v>Շրջանառության հարկ</c:v>
                </c:pt>
                <c:pt idx="3">
                  <c:v>Սոցիալական վճարներ</c:v>
                </c:pt>
                <c:pt idx="4">
                  <c:v>Այլ հարկային եկամուտներ</c:v>
                </c:pt>
                <c:pt idx="5">
                  <c:v>Պետական տուրքեր</c:v>
                </c:pt>
              </c:strCache>
            </c:strRef>
          </c:cat>
          <c:val>
            <c:numRef>
              <c:f>Sheet4!$D$7:$D$12</c:f>
              <c:numCache>
                <c:formatCode>#,##0.0;[Red]#,##0.0</c:formatCode>
                <c:ptCount val="6"/>
                <c:pt idx="0">
                  <c:v>0</c:v>
                </c:pt>
                <c:pt idx="1">
                  <c:v>21.7</c:v>
                </c:pt>
                <c:pt idx="2">
                  <c:v>9.1</c:v>
                </c:pt>
                <c:pt idx="3">
                  <c:v>7.7</c:v>
                </c:pt>
                <c:pt idx="4">
                  <c:v>12.5</c:v>
                </c:pt>
                <c:pt idx="5">
                  <c:v>12.2</c:v>
                </c:pt>
              </c:numCache>
            </c:numRef>
          </c:val>
        </c:ser>
        <c:gapWidth val="75"/>
        <c:overlap val="-25"/>
        <c:axId val="61729408"/>
        <c:axId val="61878656"/>
      </c:barChart>
      <c:catAx>
        <c:axId val="617294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500"/>
            </a:pPr>
            <a:endParaRPr lang="en-US"/>
          </a:p>
        </c:txPr>
        <c:crossAx val="61878656"/>
        <c:crosses val="autoZero"/>
        <c:auto val="1"/>
        <c:lblAlgn val="ctr"/>
        <c:lblOffset val="100"/>
      </c:catAx>
      <c:valAx>
        <c:axId val="61878656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crossAx val="61729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043598716827066"/>
          <c:w val="1"/>
          <c:h val="8.1786235053951509E-2"/>
        </c:manualLayout>
      </c:layout>
      <c:txPr>
        <a:bodyPr/>
        <a:lstStyle/>
        <a:p>
          <a:pPr>
            <a:defRPr sz="900" b="1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FinComm Expert2</cp:lastModifiedBy>
  <cp:revision>15</cp:revision>
  <cp:lastPrinted>2018-07-20T05:46:00Z</cp:lastPrinted>
  <dcterms:created xsi:type="dcterms:W3CDTF">2018-06-27T12:39:00Z</dcterms:created>
  <dcterms:modified xsi:type="dcterms:W3CDTF">2018-07-20T05:46:00Z</dcterms:modified>
</cp:coreProperties>
</file>