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790D70" w:rsidRDefault="00173A69" w:rsidP="00691BBD">
      <w:pPr>
        <w:spacing w:after="0" w:line="360" w:lineRule="auto"/>
        <w:jc w:val="right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790D70">
        <w:rPr>
          <w:rFonts w:ascii="GHEA Grapalat" w:hAnsi="GHEA Grapalat"/>
          <w:b/>
          <w:i/>
          <w:sz w:val="20"/>
          <w:szCs w:val="20"/>
        </w:rPr>
        <w:t>Պատրաստված</w:t>
      </w:r>
      <w:proofErr w:type="spellEnd"/>
      <w:r w:rsidRPr="00790D70">
        <w:rPr>
          <w:rFonts w:ascii="GHEA Grapalat" w:hAnsi="GHEA Grapalat"/>
          <w:b/>
          <w:i/>
          <w:sz w:val="20"/>
          <w:szCs w:val="20"/>
        </w:rPr>
        <w:t xml:space="preserve"> է </w:t>
      </w:r>
      <w:r w:rsidR="00EE330C" w:rsidRPr="00790D70">
        <w:rPr>
          <w:rFonts w:ascii="GHEA Grapalat" w:hAnsi="GHEA Grapalat"/>
          <w:b/>
          <w:i/>
          <w:sz w:val="20"/>
          <w:szCs w:val="20"/>
        </w:rPr>
        <w:t xml:space="preserve">ՀՀ </w:t>
      </w:r>
      <w:r w:rsidRPr="00790D70">
        <w:rPr>
          <w:rFonts w:ascii="GHEA Grapalat" w:hAnsi="GHEA Grapalat"/>
          <w:b/>
          <w:i/>
          <w:sz w:val="20"/>
          <w:szCs w:val="20"/>
        </w:rPr>
        <w:t xml:space="preserve">ԱԺ </w:t>
      </w:r>
      <w:proofErr w:type="spellStart"/>
      <w:r w:rsidRPr="00790D70">
        <w:rPr>
          <w:rFonts w:ascii="GHEA Grapalat" w:hAnsi="GHEA Grapalat"/>
          <w:b/>
          <w:i/>
          <w:sz w:val="20"/>
          <w:szCs w:val="20"/>
        </w:rPr>
        <w:t>բյուջետային</w:t>
      </w:r>
      <w:proofErr w:type="spellEnd"/>
      <w:r w:rsidRPr="00790D7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90D70">
        <w:rPr>
          <w:rFonts w:ascii="GHEA Grapalat" w:hAnsi="GHEA Grapalat"/>
          <w:b/>
          <w:i/>
          <w:sz w:val="20"/>
          <w:szCs w:val="20"/>
        </w:rPr>
        <w:t>գրասենյակի</w:t>
      </w:r>
      <w:proofErr w:type="spellEnd"/>
      <w:r w:rsidRPr="00790D70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90D70">
        <w:rPr>
          <w:rFonts w:ascii="GHEA Grapalat" w:hAnsi="GHEA Grapalat"/>
          <w:b/>
          <w:i/>
          <w:sz w:val="20"/>
          <w:szCs w:val="20"/>
        </w:rPr>
        <w:t>կողմից</w:t>
      </w:r>
      <w:proofErr w:type="spellEnd"/>
    </w:p>
    <w:p w:rsidR="00173A69" w:rsidRPr="00683FE4" w:rsidRDefault="00691BBD" w:rsidP="009A5C6E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3FE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B33D18" w:rsidRPr="00702225" w:rsidRDefault="00BB0E30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proofErr w:type="spellStart"/>
      <w:proofErr w:type="gramStart"/>
      <w:r w:rsidRPr="00702225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70222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702225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702225">
        <w:rPr>
          <w:rFonts w:ascii="GHEA Grapalat" w:eastAsia="Times New Roman" w:hAnsi="GHEA Grapalat" w:cs="Arial"/>
          <w:sz w:val="24"/>
          <w:szCs w:val="24"/>
        </w:rPr>
        <w:t xml:space="preserve"> 2017-2018</w:t>
      </w:r>
      <w:r w:rsidR="00691BBD" w:rsidRPr="0070222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691BBD" w:rsidRPr="00702225">
        <w:rPr>
          <w:rFonts w:ascii="GHEA Grapalat" w:eastAsia="Times New Roman" w:hAnsi="GHEA Grapalat" w:cs="Arial"/>
          <w:sz w:val="24"/>
          <w:szCs w:val="24"/>
        </w:rPr>
        <w:t>թթ</w:t>
      </w:r>
      <w:proofErr w:type="spellEnd"/>
      <w:r w:rsidR="00691BBD" w:rsidRPr="00702225">
        <w:rPr>
          <w:rFonts w:ascii="GHEA Grapalat" w:eastAsia="Times New Roman" w:hAnsi="GHEA Grapalat" w:cs="Arial"/>
          <w:sz w:val="24"/>
          <w:szCs w:val="24"/>
        </w:rPr>
        <w:t>.</w:t>
      </w:r>
      <w:proofErr w:type="gramEnd"/>
      <w:r w:rsidR="00691BBD" w:rsidRPr="0070222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proofErr w:type="gramStart"/>
      <w:r w:rsidR="00691BBD" w:rsidRPr="00702225">
        <w:rPr>
          <w:rFonts w:ascii="GHEA Grapalat" w:eastAsia="Times New Roman" w:hAnsi="GHEA Grapalat" w:cs="Arial"/>
          <w:sz w:val="24"/>
          <w:szCs w:val="24"/>
        </w:rPr>
        <w:t>պետական</w:t>
      </w:r>
      <w:proofErr w:type="spellEnd"/>
      <w:proofErr w:type="gramEnd"/>
      <w:r w:rsidR="00691BBD" w:rsidRPr="0070222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691BBD" w:rsidRPr="00702225">
        <w:rPr>
          <w:rFonts w:ascii="GHEA Grapalat" w:eastAsia="Times New Roman" w:hAnsi="GHEA Grapalat" w:cs="Arial"/>
          <w:sz w:val="24"/>
          <w:szCs w:val="24"/>
        </w:rPr>
        <w:t>բյուջեների</w:t>
      </w:r>
      <w:proofErr w:type="spellEnd"/>
      <w:r w:rsidR="00691BBD" w:rsidRPr="0070222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691BBD" w:rsidRPr="00702225">
        <w:rPr>
          <w:rFonts w:ascii="GHEA Grapalat" w:eastAsia="Times New Roman" w:hAnsi="GHEA Grapalat" w:cs="Arial"/>
          <w:sz w:val="24"/>
          <w:szCs w:val="24"/>
        </w:rPr>
        <w:t>եկամուտների</w:t>
      </w:r>
      <w:proofErr w:type="spellEnd"/>
      <w:r w:rsidR="00691BBD" w:rsidRPr="00702225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691BBD" w:rsidRPr="00702225">
        <w:rPr>
          <w:rFonts w:ascii="GHEA Grapalat" w:eastAsia="Times New Roman" w:hAnsi="GHEA Grapalat" w:cs="Arial"/>
          <w:sz w:val="24"/>
          <w:szCs w:val="24"/>
        </w:rPr>
        <w:t>վերաբերյալ</w:t>
      </w:r>
      <w:proofErr w:type="spellEnd"/>
      <w:r w:rsidR="00691BBD" w:rsidRPr="00702225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="00691BBD" w:rsidRPr="00702225">
        <w:rPr>
          <w:rFonts w:ascii="GHEA Grapalat" w:eastAsia="Times New Roman" w:hAnsi="GHEA Grapalat" w:cs="Arial"/>
          <w:sz w:val="24"/>
          <w:szCs w:val="24"/>
        </w:rPr>
        <w:t>հունվար</w:t>
      </w:r>
      <w:proofErr w:type="spellEnd"/>
      <w:r w:rsidR="00691BBD" w:rsidRPr="00702225">
        <w:rPr>
          <w:rFonts w:ascii="GHEA Grapalat" w:eastAsia="Times New Roman" w:hAnsi="GHEA Grapalat" w:cs="Arial"/>
          <w:sz w:val="24"/>
          <w:szCs w:val="24"/>
        </w:rPr>
        <w:t>)`</w:t>
      </w:r>
    </w:p>
    <w:p w:rsidR="00691BBD" w:rsidRPr="00702225" w:rsidRDefault="006E7C57" w:rsidP="005B32B8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702225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proofErr w:type="gramStart"/>
      <w:r w:rsidR="00D72992" w:rsidRPr="00702225">
        <w:rPr>
          <w:rFonts w:ascii="GHEA Grapalat" w:eastAsia="Times New Roman" w:hAnsi="GHEA Grapalat" w:cs="Arial"/>
          <w:sz w:val="24"/>
          <w:szCs w:val="24"/>
        </w:rPr>
        <w:t>գ</w:t>
      </w:r>
      <w:r w:rsidR="00691BBD" w:rsidRPr="00702225">
        <w:rPr>
          <w:rFonts w:ascii="GHEA Grapalat" w:eastAsia="Times New Roman" w:hAnsi="GHEA Grapalat" w:cs="Arial"/>
          <w:sz w:val="24"/>
          <w:szCs w:val="24"/>
        </w:rPr>
        <w:t>ծապատկերներով</w:t>
      </w:r>
      <w:proofErr w:type="spellEnd"/>
      <w:proofErr w:type="gramEnd"/>
      <w:r w:rsidR="005B32B8"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                                       </w:t>
      </w:r>
    </w:p>
    <w:p w:rsidR="00B71918" w:rsidRPr="00683FE4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B71918" w:rsidRDefault="00230D6A">
      <w:pPr>
        <w:rPr>
          <w:rFonts w:ascii="GHEA Grapalat" w:hAnsi="GHEA Grapalat" w:cs="Sylfaen"/>
        </w:rPr>
      </w:pPr>
      <w:r w:rsidRPr="00230D6A">
        <w:rPr>
          <w:rFonts w:ascii="GHEA Grapalat" w:hAnsi="GHEA Grapalat" w:cs="Sylfaen"/>
        </w:rPr>
        <w:drawing>
          <wp:inline distT="0" distB="0" distL="0" distR="0">
            <wp:extent cx="4743450" cy="2886075"/>
            <wp:effectExtent l="19050" t="0" r="19050" b="0"/>
            <wp:docPr id="1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58408A">
        <w:rPr>
          <w:rFonts w:ascii="GHEA Grapalat" w:hAnsi="GHEA Grapalat" w:cs="Sylfaen"/>
        </w:rPr>
        <w:t xml:space="preserve"> </w:t>
      </w:r>
      <w:r w:rsidR="00E17119" w:rsidRPr="00E17119">
        <w:rPr>
          <w:rFonts w:ascii="GHEA Grapalat" w:hAnsi="GHEA Grapalat" w:cs="Sylfaen"/>
        </w:rPr>
        <w:drawing>
          <wp:inline distT="0" distB="0" distL="0" distR="0">
            <wp:extent cx="4552950" cy="2886075"/>
            <wp:effectExtent l="19050" t="0" r="19050" b="0"/>
            <wp:docPr id="2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4C4C" w:rsidRDefault="005A3724">
      <w:pPr>
        <w:rPr>
          <w:rFonts w:ascii="GHEA Grapalat" w:hAnsi="GHEA Grapalat" w:cs="Sylfaen"/>
        </w:rPr>
      </w:pPr>
      <w:r w:rsidRPr="005A3724">
        <w:rPr>
          <w:rFonts w:ascii="GHEA Grapalat" w:hAnsi="GHEA Grapalat" w:cs="Sylfaen"/>
        </w:rPr>
        <w:drawing>
          <wp:inline distT="0" distB="0" distL="0" distR="0">
            <wp:extent cx="9372600" cy="3200400"/>
            <wp:effectExtent l="19050" t="0" r="19050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4C4C" w:rsidRDefault="007A07FF">
      <w:pPr>
        <w:rPr>
          <w:rFonts w:ascii="GHEA Grapalat" w:hAnsi="GHEA Grapalat" w:cs="Sylfaen"/>
        </w:rPr>
      </w:pPr>
      <w:r w:rsidRPr="007A07FF">
        <w:rPr>
          <w:rFonts w:ascii="GHEA Grapalat" w:hAnsi="GHEA Grapalat" w:cs="Sylfaen"/>
        </w:rPr>
        <w:lastRenderedPageBreak/>
        <w:drawing>
          <wp:inline distT="0" distB="0" distL="0" distR="0">
            <wp:extent cx="9277350" cy="3505200"/>
            <wp:effectExtent l="19050" t="0" r="1905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4C4C" w:rsidRDefault="00A24C4C">
      <w:pPr>
        <w:rPr>
          <w:rFonts w:ascii="GHEA Grapalat" w:hAnsi="GHEA Grapalat" w:cs="Sylfaen"/>
        </w:rPr>
      </w:pPr>
    </w:p>
    <w:p w:rsidR="00702225" w:rsidRDefault="00702225">
      <w:pPr>
        <w:rPr>
          <w:rFonts w:ascii="GHEA Grapalat" w:hAnsi="GHEA Grapalat" w:cs="Sylfaen"/>
        </w:rPr>
      </w:pPr>
    </w:p>
    <w:p w:rsidR="00702225" w:rsidRDefault="00702225">
      <w:pPr>
        <w:rPr>
          <w:rFonts w:ascii="GHEA Grapalat" w:hAnsi="GHEA Grapalat" w:cs="Sylfaen"/>
        </w:rPr>
      </w:pPr>
    </w:p>
    <w:p w:rsidR="00702225" w:rsidRDefault="00702225">
      <w:pPr>
        <w:rPr>
          <w:rFonts w:ascii="GHEA Grapalat" w:hAnsi="GHEA Grapalat" w:cs="Sylfaen"/>
        </w:rPr>
      </w:pPr>
    </w:p>
    <w:p w:rsidR="00702225" w:rsidRDefault="00702225">
      <w:pPr>
        <w:rPr>
          <w:rFonts w:ascii="GHEA Grapalat" w:hAnsi="GHEA Grapalat" w:cs="Sylfaen"/>
        </w:rPr>
      </w:pPr>
    </w:p>
    <w:p w:rsidR="00702225" w:rsidRDefault="00702225">
      <w:pPr>
        <w:rPr>
          <w:rFonts w:ascii="GHEA Grapalat" w:hAnsi="GHEA Grapalat" w:cs="Sylfaen"/>
        </w:rPr>
      </w:pPr>
    </w:p>
    <w:p w:rsidR="00702225" w:rsidRDefault="00702225">
      <w:pPr>
        <w:rPr>
          <w:rFonts w:ascii="GHEA Grapalat" w:hAnsi="GHEA Grapalat" w:cs="Sylfaen"/>
        </w:rPr>
      </w:pPr>
    </w:p>
    <w:p w:rsidR="00A24C4C" w:rsidRDefault="00A24C4C">
      <w:pPr>
        <w:rPr>
          <w:rFonts w:ascii="GHEA Grapalat" w:hAnsi="GHEA Grapalat" w:cs="Sylfaen"/>
        </w:rPr>
      </w:pP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F36205">
        <w:rPr>
          <w:rFonts w:ascii="GHEA Grapalat" w:hAnsi="GHEA Grapalat"/>
          <w:b/>
          <w:sz w:val="16"/>
          <w:szCs w:val="16"/>
        </w:rPr>
        <w:t>2017</w:t>
      </w:r>
      <w:r w:rsidR="005A7921" w:rsidRPr="00683FE4">
        <w:rPr>
          <w:rFonts w:ascii="GHEA Grapalat" w:hAnsi="GHEA Grapalat"/>
          <w:b/>
          <w:sz w:val="16"/>
          <w:szCs w:val="16"/>
        </w:rPr>
        <w:t>-201</w:t>
      </w:r>
      <w:r w:rsidR="00F36205">
        <w:rPr>
          <w:rFonts w:ascii="GHEA Grapalat" w:hAnsi="GHEA Grapalat"/>
          <w:b/>
          <w:sz w:val="16"/>
          <w:szCs w:val="16"/>
        </w:rPr>
        <w:t>8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="00657CA8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F36205">
        <w:rPr>
          <w:rFonts w:ascii="GHEA Grapalat" w:hAnsi="GHEA Grapalat" w:cs="Sylfaen"/>
          <w:b/>
          <w:sz w:val="16"/>
          <w:szCs w:val="16"/>
        </w:rPr>
        <w:t>հունվար</w:t>
      </w:r>
      <w:proofErr w:type="spellEnd"/>
      <w:r w:rsidR="00D61722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ամսվա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2017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="00702225">
        <w:rPr>
          <w:rFonts w:ascii="GHEA Grapalat" w:hAnsi="GHEA Grapalat"/>
          <w:b/>
          <w:sz w:val="16"/>
          <w:szCs w:val="16"/>
        </w:rPr>
        <w:t xml:space="preserve"> 28.12.2017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="00702225">
        <w:rPr>
          <w:rFonts w:ascii="GHEA Grapalat" w:hAnsi="GHEA Grapalat"/>
          <w:b/>
          <w:sz w:val="16"/>
          <w:szCs w:val="16"/>
        </w:rPr>
        <w:t xml:space="preserve"> 17</w:t>
      </w:r>
      <w:r w:rsidRPr="00683FE4">
        <w:rPr>
          <w:rFonts w:ascii="GHEA Grapalat" w:hAnsi="GHEA Grapalat"/>
          <w:b/>
          <w:sz w:val="16"/>
          <w:szCs w:val="16"/>
        </w:rPr>
        <w:t>1</w:t>
      </w:r>
      <w:r w:rsidR="00702225">
        <w:rPr>
          <w:rFonts w:ascii="GHEA Grapalat" w:hAnsi="GHEA Grapalat"/>
          <w:b/>
          <w:sz w:val="16"/>
          <w:szCs w:val="16"/>
        </w:rPr>
        <w:t>7</w:t>
      </w:r>
      <w:r w:rsidRPr="00683FE4">
        <w:rPr>
          <w:rFonts w:ascii="GHEA Grapalat" w:hAnsi="GHEA Grapalat"/>
          <w:b/>
          <w:sz w:val="16"/>
          <w:szCs w:val="16"/>
        </w:rPr>
        <w:t>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3903FB">
      <w:pgSz w:w="15840" w:h="12240" w:orient="landscape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0686A"/>
    <w:rsid w:val="000872D6"/>
    <w:rsid w:val="000B64F2"/>
    <w:rsid w:val="00113D8C"/>
    <w:rsid w:val="00116141"/>
    <w:rsid w:val="0016256A"/>
    <w:rsid w:val="00173A69"/>
    <w:rsid w:val="00180890"/>
    <w:rsid w:val="0019261D"/>
    <w:rsid w:val="0019674F"/>
    <w:rsid w:val="001F75CD"/>
    <w:rsid w:val="002272E5"/>
    <w:rsid w:val="00230D6A"/>
    <w:rsid w:val="00256212"/>
    <w:rsid w:val="00283215"/>
    <w:rsid w:val="00291EAC"/>
    <w:rsid w:val="002C450F"/>
    <w:rsid w:val="003903FB"/>
    <w:rsid w:val="003B3391"/>
    <w:rsid w:val="003C04F6"/>
    <w:rsid w:val="00453866"/>
    <w:rsid w:val="00493531"/>
    <w:rsid w:val="004A0252"/>
    <w:rsid w:val="004C2632"/>
    <w:rsid w:val="004D1EF0"/>
    <w:rsid w:val="00510552"/>
    <w:rsid w:val="00526BC2"/>
    <w:rsid w:val="005768CB"/>
    <w:rsid w:val="00577BCF"/>
    <w:rsid w:val="0058408A"/>
    <w:rsid w:val="005A3724"/>
    <w:rsid w:val="005A7921"/>
    <w:rsid w:val="005B32B8"/>
    <w:rsid w:val="005E0FD9"/>
    <w:rsid w:val="005F01F7"/>
    <w:rsid w:val="00657CA8"/>
    <w:rsid w:val="00683FE4"/>
    <w:rsid w:val="00691724"/>
    <w:rsid w:val="00691BBD"/>
    <w:rsid w:val="006A139C"/>
    <w:rsid w:val="006A7C1F"/>
    <w:rsid w:val="006E7C57"/>
    <w:rsid w:val="00702225"/>
    <w:rsid w:val="007112B3"/>
    <w:rsid w:val="00743126"/>
    <w:rsid w:val="00751C9B"/>
    <w:rsid w:val="007833A4"/>
    <w:rsid w:val="00790D70"/>
    <w:rsid w:val="007A07FF"/>
    <w:rsid w:val="007A30C5"/>
    <w:rsid w:val="007E157D"/>
    <w:rsid w:val="008348A9"/>
    <w:rsid w:val="00845E5A"/>
    <w:rsid w:val="008E60C4"/>
    <w:rsid w:val="008F6ADD"/>
    <w:rsid w:val="00902412"/>
    <w:rsid w:val="009056F8"/>
    <w:rsid w:val="00906274"/>
    <w:rsid w:val="0093464C"/>
    <w:rsid w:val="00934C96"/>
    <w:rsid w:val="0095789A"/>
    <w:rsid w:val="009A5C6E"/>
    <w:rsid w:val="009D633F"/>
    <w:rsid w:val="009E53E4"/>
    <w:rsid w:val="00A24C4C"/>
    <w:rsid w:val="00A31794"/>
    <w:rsid w:val="00A54DB0"/>
    <w:rsid w:val="00A6161B"/>
    <w:rsid w:val="00A855AE"/>
    <w:rsid w:val="00AA5EF0"/>
    <w:rsid w:val="00AD3113"/>
    <w:rsid w:val="00AE615B"/>
    <w:rsid w:val="00B33D18"/>
    <w:rsid w:val="00B53F72"/>
    <w:rsid w:val="00B60913"/>
    <w:rsid w:val="00B71918"/>
    <w:rsid w:val="00B93572"/>
    <w:rsid w:val="00BA4DE7"/>
    <w:rsid w:val="00BB0E30"/>
    <w:rsid w:val="00C5174D"/>
    <w:rsid w:val="00C5622D"/>
    <w:rsid w:val="00C90DAB"/>
    <w:rsid w:val="00CA6F13"/>
    <w:rsid w:val="00CB7BF1"/>
    <w:rsid w:val="00CD48BD"/>
    <w:rsid w:val="00CE73D3"/>
    <w:rsid w:val="00CF72D9"/>
    <w:rsid w:val="00D03A5C"/>
    <w:rsid w:val="00D231D5"/>
    <w:rsid w:val="00D25867"/>
    <w:rsid w:val="00D25DF0"/>
    <w:rsid w:val="00D61722"/>
    <w:rsid w:val="00D72992"/>
    <w:rsid w:val="00DC6619"/>
    <w:rsid w:val="00E17119"/>
    <w:rsid w:val="00E54B68"/>
    <w:rsid w:val="00E80926"/>
    <w:rsid w:val="00E91C9A"/>
    <w:rsid w:val="00ED0557"/>
    <w:rsid w:val="00EE330C"/>
    <w:rsid w:val="00F07CF6"/>
    <w:rsid w:val="00F36205"/>
    <w:rsid w:val="00F73DAE"/>
    <w:rsid w:val="00F834C1"/>
    <w:rsid w:val="00F83BD7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8\&#1333;&#1343;&#1329;&#1348;&#1352;&#1362;&#1359;&#1350;&#1333;&#1360;%202018\hunvar\Hunvar%202018-%20&#1333;&#1391;&#1377;&#1396;&#1400;&#1410;&#1407;&#1398;&#1381;&#1408;%20-%20&#1379;&#1390;&#1377;&#1402;&#1377;&#1407;&#1391;&#1381;&#1408;&#139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8\&#1333;&#1343;&#1329;&#1348;&#1352;&#1362;&#1359;&#1350;&#1333;&#1360;%202018\hunvar\Hunvar%202018-%20&#1333;&#1391;&#1377;&#1396;&#1400;&#1410;&#1407;&#1398;&#1381;&#1408;%20-%20&#1379;&#1390;&#1377;&#1402;&#1377;&#1407;&#1391;&#1381;&#1408;&#1398;&#1381;&#140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8\&#1333;&#1343;&#1329;&#1348;&#1352;&#1362;&#1359;&#1350;&#1333;&#1360;%202018\hunvar\Hunvar%202018-%20&#1333;&#1391;&#1377;&#1396;&#1400;&#1410;&#1407;&#1398;&#1381;&#1408;%20-%20&#1379;&#1390;&#1377;&#1402;&#1377;&#1407;&#1391;&#1381;&#1408;&#139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8\&#1333;&#1343;&#1329;&#1348;&#1352;&#1362;&#1359;&#1350;&#1333;&#1360;%202018\hunvar\Hunvar%202018-%20&#1333;&#1391;&#1377;&#1396;&#1400;&#1410;&#1407;&#1398;&#1381;&#1408;%20-%20&#1379;&#1390;&#1377;&#1402;&#1377;&#1407;&#1391;&#1381;&#1408;&#139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մլրդ դրամ</a:t>
            </a:r>
          </a:p>
        </c:rich>
      </c:tx>
      <c:layout>
        <c:manualLayout>
          <c:xMode val="edge"/>
          <c:yMode val="edge"/>
          <c:x val="0.45748096169703689"/>
          <c:y val="0"/>
        </c:manualLayout>
      </c:layout>
    </c:title>
    <c:plotArea>
      <c:layout>
        <c:manualLayout>
          <c:layoutTarget val="inner"/>
          <c:xMode val="edge"/>
          <c:yMode val="edge"/>
          <c:x val="8.3333333333333488E-3"/>
          <c:y val="0.13564841136072073"/>
          <c:w val="0.98888888888888893"/>
          <c:h val="0.71733038162561946"/>
        </c:manualLayout>
      </c:layout>
      <c:barChart>
        <c:barDir val="col"/>
        <c:grouping val="clustered"/>
        <c:ser>
          <c:idx val="0"/>
          <c:order val="0"/>
          <c:tx>
            <c:strRef>
              <c:f>Ընդամենը!$B$13</c:f>
              <c:strCache>
                <c:ptCount val="1"/>
                <c:pt idx="0">
                  <c:v>2017թ.  (1-ին եռամսյակ (հաստատված))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Ընդամենը!$A$14:$A$17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Ընդամենը!$B$14:$B$17</c:f>
              <c:numCache>
                <c:formatCode>#,##0.0;[Red]#,##0.0</c:formatCode>
                <c:ptCount val="4"/>
                <c:pt idx="0">
                  <c:v>252.7</c:v>
                </c:pt>
                <c:pt idx="1">
                  <c:v>242.4</c:v>
                </c:pt>
                <c:pt idx="2" formatCode="#,##0.00;[Red]#,##0.00">
                  <c:v>4.4000000000000004</c:v>
                </c:pt>
                <c:pt idx="3">
                  <c:v>5.8</c:v>
                </c:pt>
              </c:numCache>
            </c:numRef>
          </c:val>
        </c:ser>
        <c:ser>
          <c:idx val="1"/>
          <c:order val="1"/>
          <c:tx>
            <c:strRef>
              <c:f>Ընդամենը!$C$13</c:f>
              <c:strCache>
                <c:ptCount val="1"/>
                <c:pt idx="0">
                  <c:v>2018թ.  (1-ին եռամսյակ (հաստատված))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Ընդամենը!$A$14:$A$17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Ընդամենը!$C$14:$C$17</c:f>
              <c:numCache>
                <c:formatCode>#,##0.0;[Red]#,##0.0</c:formatCode>
                <c:ptCount val="4"/>
                <c:pt idx="0">
                  <c:v>264.10000000000002</c:v>
                </c:pt>
                <c:pt idx="1">
                  <c:v>253.9</c:v>
                </c:pt>
                <c:pt idx="2">
                  <c:v>5.2</c:v>
                </c:pt>
                <c:pt idx="3">
                  <c:v>4.9800000000000004</c:v>
                </c:pt>
              </c:numCache>
            </c:numRef>
          </c:val>
        </c:ser>
        <c:dLbls>
          <c:showVal val="1"/>
        </c:dLbls>
        <c:overlap val="-25"/>
        <c:axId val="111435136"/>
        <c:axId val="111445120"/>
      </c:barChart>
      <c:catAx>
        <c:axId val="111435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50" b="1">
                <a:latin typeface="GHEA Grapalat" pitchFamily="50" charset="0"/>
              </a:defRPr>
            </a:pPr>
            <a:endParaRPr lang="en-US"/>
          </a:p>
        </c:txPr>
        <c:crossAx val="111445120"/>
        <c:crosses val="autoZero"/>
        <c:auto val="1"/>
        <c:lblAlgn val="ctr"/>
        <c:lblOffset val="100"/>
      </c:catAx>
      <c:valAx>
        <c:axId val="111445120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111435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7.0740694154444908E-2"/>
          <c:w val="1"/>
          <c:h val="7.3427384076990412E-2"/>
        </c:manualLayout>
      </c:layout>
      <c:txPr>
        <a:bodyPr/>
        <a:lstStyle/>
        <a:p>
          <a:pPr>
            <a:defRPr sz="8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>
                <a:latin typeface="GHEA Grapalat" pitchFamily="50" charset="0"/>
              </a:rPr>
              <a:t>մլրդ դրամ</a:t>
            </a:r>
          </a:p>
        </c:rich>
      </c:tx>
      <c:layout>
        <c:manualLayout>
          <c:xMode val="edge"/>
          <c:yMode val="edge"/>
          <c:x val="0.42466666666666697"/>
          <c:y val="0"/>
        </c:manualLayout>
      </c:layout>
    </c:title>
    <c:plotArea>
      <c:layout>
        <c:manualLayout>
          <c:layoutTarget val="inner"/>
          <c:xMode val="edge"/>
          <c:yMode val="edge"/>
          <c:x val="2.8205128205128206E-2"/>
          <c:y val="0.16864428404782758"/>
          <c:w val="0.94358974358974368"/>
          <c:h val="0.65039114902303874"/>
        </c:manualLayout>
      </c:layout>
      <c:barChart>
        <c:barDir val="col"/>
        <c:grouping val="clustered"/>
        <c:ser>
          <c:idx val="0"/>
          <c:order val="0"/>
          <c:tx>
            <c:strRef>
              <c:f>Այլ!$B$1</c:f>
              <c:strCache>
                <c:ptCount val="1"/>
                <c:pt idx="0">
                  <c:v>2017թ. հունվար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Այլ!$A$2:$A$4</c:f>
              <c:strCache>
                <c:ptCount val="3"/>
                <c:pt idx="0">
                  <c:v>ՊԵՏԱԿԱՆ ՏՈՒՐՔԵՐ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Այլ!$B$2:$B$4</c:f>
              <c:numCache>
                <c:formatCode>#,##0.00;[Red]#,##0.00</c:formatCode>
                <c:ptCount val="3"/>
                <c:pt idx="0" formatCode="#,##0.0;[Red]#,##0.0">
                  <c:v>1.8</c:v>
                </c:pt>
                <c:pt idx="1">
                  <c:v>0.69000000000000006</c:v>
                </c:pt>
                <c:pt idx="2" formatCode="#,##0.0;[Red]#,##0.0">
                  <c:v>3.3</c:v>
                </c:pt>
              </c:numCache>
            </c:numRef>
          </c:val>
        </c:ser>
        <c:ser>
          <c:idx val="1"/>
          <c:order val="1"/>
          <c:tx>
            <c:strRef>
              <c:f>Այլ!$C$1</c:f>
              <c:strCache>
                <c:ptCount val="1"/>
                <c:pt idx="0">
                  <c:v>2018թ. հունվար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Այլ!$A$2:$A$4</c:f>
              <c:strCache>
                <c:ptCount val="3"/>
                <c:pt idx="0">
                  <c:v>ՊԵՏԱԿԱՆ ՏՈՒՐՔԵՐ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Այլ!$C$2:$C$4</c:f>
              <c:numCache>
                <c:formatCode>#,##0.00;[Red]#,##0.00</c:formatCode>
                <c:ptCount val="3"/>
                <c:pt idx="0" formatCode="#,##0.0;[Red]#,##0.0">
                  <c:v>1.9000000000000001</c:v>
                </c:pt>
                <c:pt idx="1">
                  <c:v>0.5</c:v>
                </c:pt>
                <c:pt idx="2" formatCode="#,##0.0;[Red]#,##0.0">
                  <c:v>4.7</c:v>
                </c:pt>
              </c:numCache>
            </c:numRef>
          </c:val>
        </c:ser>
        <c:dLbls>
          <c:showVal val="1"/>
        </c:dLbls>
        <c:overlap val="-25"/>
        <c:axId val="111646208"/>
        <c:axId val="111648128"/>
      </c:barChart>
      <c:catAx>
        <c:axId val="111646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1648128"/>
        <c:crosses val="autoZero"/>
        <c:auto val="1"/>
        <c:lblAlgn val="ctr"/>
        <c:lblOffset val="100"/>
      </c:catAx>
      <c:valAx>
        <c:axId val="111648128"/>
        <c:scaling>
          <c:orientation val="minMax"/>
        </c:scaling>
        <c:delete val="1"/>
        <c:axPos val="l"/>
        <c:numFmt formatCode="#,##0.0;[Red]#,##0.0" sourceLinked="1"/>
        <c:tickLblPos val="nextTo"/>
        <c:crossAx val="111646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653745204926341E-2"/>
          <c:y val="5.6851851851851883E-2"/>
          <c:w val="0.94266686856450665"/>
          <c:h val="8.3717191601049942E-2"/>
        </c:manualLayout>
      </c:layout>
      <c:txPr>
        <a:bodyPr/>
        <a:lstStyle/>
        <a:p>
          <a:pPr>
            <a:defRPr sz="9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2018թ. հարկային եկամուտներ (հունվար) </a:t>
            </a:r>
          </a:p>
          <a:p>
            <a:pPr>
              <a:defRPr sz="1000"/>
            </a:pPr>
            <a:r>
              <a:rPr lang="en-US" sz="1000"/>
              <a:t>մլրդ դրամ</a:t>
            </a:r>
          </a:p>
          <a:p>
            <a:pPr>
              <a:defRPr sz="1000"/>
            </a:pPr>
            <a:endParaRPr lang="en-US" sz="1000"/>
          </a:p>
        </c:rich>
      </c:tx>
      <c:layout>
        <c:manualLayout>
          <c:xMode val="edge"/>
          <c:yMode val="edge"/>
          <c:x val="0.34854866960931735"/>
          <c:y val="0"/>
        </c:manualLayout>
      </c:layout>
    </c:title>
    <c:plotArea>
      <c:layout>
        <c:manualLayout>
          <c:layoutTarget val="inner"/>
          <c:xMode val="edge"/>
          <c:yMode val="edge"/>
          <c:x val="8.4531681999708962E-3"/>
          <c:y val="4.7678917519506266E-2"/>
          <c:w val="0.98172484599589338"/>
          <c:h val="0.47844865440866219"/>
        </c:manualLayout>
      </c:layout>
      <c:barChart>
        <c:barDir val="col"/>
        <c:grouping val="clustered"/>
        <c:ser>
          <c:idx val="0"/>
          <c:order val="0"/>
          <c:tx>
            <c:strRef>
              <c:f>Հարկեր!$B$1</c:f>
              <c:strCache>
                <c:ptCount val="1"/>
                <c:pt idx="0">
                  <c:v>2018թ.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Հարկեր!$A$2:$A$16</c:f>
              <c:strCache>
                <c:ptCount val="15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  <c:pt idx="6">
                  <c:v>Բնօգտագործման եվ բնապահպանական վճարներ</c:v>
                </c:pt>
                <c:pt idx="7">
                  <c:v>Շրջանառության հարկ</c:v>
                </c:pt>
                <c:pt idx="8">
                  <c:v>Սոցիալական վճարներ</c:v>
                </c:pt>
                <c:pt idx="9">
                  <c:v>Այլ հարկային եկամուտներ, որից՝</c:v>
                </c:pt>
                <c:pt idx="10">
                  <c:v>Ռադիոհաճախականության օգտագործման թույլտվության տրամադրման և օգտագործման պարտադիր վճարներ</c:v>
                </c:pt>
                <c:pt idx="11">
                  <c:v>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</c:v>
                </c:pt>
                <c:pt idx="12">
                  <c:v>արտոնագրային հարկեր ( 2017թ. արտոնագրային վճար)</c:v>
                </c:pt>
                <c:pt idx="13">
                  <c:v>ճանապարհային հարկեր (2017թ. ճանապարհային վճար)</c:v>
                </c:pt>
                <c:pt idx="14">
                  <c:v>Միասնական գանաձապետական հաշվի զուտ մուտքեր</c:v>
                </c:pt>
              </c:strCache>
            </c:strRef>
          </c:cat>
          <c:val>
            <c:numRef>
              <c:f>Հարկեր!$B$2:$B$16</c:f>
              <c:numCache>
                <c:formatCode>#,##0.0;[Red]#,##0.0</c:formatCode>
                <c:ptCount val="15"/>
                <c:pt idx="0">
                  <c:v>32.4</c:v>
                </c:pt>
                <c:pt idx="1">
                  <c:v>16.8</c:v>
                </c:pt>
                <c:pt idx="2">
                  <c:v>2.9</c:v>
                </c:pt>
                <c:pt idx="3">
                  <c:v>17.7</c:v>
                </c:pt>
                <c:pt idx="4">
                  <c:v>5</c:v>
                </c:pt>
                <c:pt idx="5" formatCode="#,##0.00;[Red]#,##0.00">
                  <c:v>6.0000000000000005E-2</c:v>
                </c:pt>
                <c:pt idx="6">
                  <c:v>1.9000000000000001</c:v>
                </c:pt>
                <c:pt idx="7">
                  <c:v>13.9</c:v>
                </c:pt>
                <c:pt idx="8" formatCode="#,##0.00;[Red]#,##0.00">
                  <c:v>0.8</c:v>
                </c:pt>
                <c:pt idx="9">
                  <c:v>1.4</c:v>
                </c:pt>
                <c:pt idx="10" formatCode="#,##0.00;[Red]#,##0.00">
                  <c:v>0.58000000000000007</c:v>
                </c:pt>
                <c:pt idx="11" formatCode="#,##0.00;[Red]#,##0.00">
                  <c:v>0.44</c:v>
                </c:pt>
                <c:pt idx="12" formatCode="#,##0.00;[Red]#,##0.00">
                  <c:v>0.2</c:v>
                </c:pt>
                <c:pt idx="13" formatCode="#,##0.00;[Red]#,##0.00">
                  <c:v>0.17</c:v>
                </c:pt>
                <c:pt idx="14">
                  <c:v>35.200000000000003</c:v>
                </c:pt>
              </c:numCache>
            </c:numRef>
          </c:val>
        </c:ser>
        <c:dLbls>
          <c:showVal val="1"/>
        </c:dLbls>
        <c:overlap val="-25"/>
        <c:axId val="122464512"/>
        <c:axId val="122804096"/>
      </c:barChart>
      <c:catAx>
        <c:axId val="12246451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22804096"/>
        <c:crosses val="autoZero"/>
        <c:auto val="1"/>
        <c:lblAlgn val="ctr"/>
        <c:lblOffset val="100"/>
      </c:catAx>
      <c:valAx>
        <c:axId val="122804096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122464512"/>
        <c:crosses val="autoZero"/>
        <c:crossBetween val="between"/>
      </c:valAx>
    </c:plotArea>
    <c:plotVisOnly val="1"/>
  </c:chart>
  <c:txPr>
    <a:bodyPr/>
    <a:lstStyle/>
    <a:p>
      <a:pPr>
        <a:defRPr sz="580" b="1">
          <a:latin typeface="GHEA Grapalat" pitchFamily="50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en-US" sz="1000" b="1" i="0" u="none" strike="noStrike" baseline="0"/>
              <a:t>2018թ  այլ եկամուտներ</a:t>
            </a:r>
            <a:r>
              <a:rPr lang="en-US" sz="1000" baseline="0">
                <a:latin typeface="GHEA Grapalat" pitchFamily="50" charset="0"/>
              </a:rPr>
              <a:t> </a:t>
            </a:r>
            <a:r>
              <a:rPr lang="en-US" sz="1000" b="1" i="0" u="none" strike="noStrike" baseline="0"/>
              <a:t>(հունվար) </a:t>
            </a:r>
            <a:r>
              <a:rPr lang="en-US" sz="1000" baseline="0">
                <a:latin typeface="GHEA Grapalat" pitchFamily="50" charset="0"/>
              </a:rPr>
              <a:t> </a:t>
            </a:r>
          </a:p>
          <a:p>
            <a:pPr>
              <a:defRPr sz="1000">
                <a:latin typeface="GHEA Grapalat" pitchFamily="50" charset="0"/>
              </a:defRPr>
            </a:pPr>
            <a:r>
              <a:rPr lang="en-US" sz="1000" baseline="0">
                <a:latin typeface="GHEA Grapalat" pitchFamily="50" charset="0"/>
              </a:rPr>
              <a:t>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5787585217079299E-2"/>
          <c:y val="0.11424561403508772"/>
          <c:w val="0.96842482956584153"/>
          <c:h val="0.55248542616383489"/>
        </c:manualLayout>
      </c:layout>
      <c:barChart>
        <c:barDir val="col"/>
        <c:grouping val="clustered"/>
        <c:ser>
          <c:idx val="0"/>
          <c:order val="0"/>
          <c:tx>
            <c:strRef>
              <c:f>'Հարկեր 2'!$B$1</c:f>
              <c:strCache>
                <c:ptCount val="1"/>
                <c:pt idx="0">
                  <c:v>2018թ.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2'!$A$2:$A$8</c:f>
              <c:strCache>
                <c:ptCount val="7"/>
                <c:pt idx="0">
                  <c:v>ՀՀ կառավարությանն առընթեր անշարժ գույքի կադաստրի պետական կոմիտեի ծախսերի նկատմամբ եկամուտների գերազանցումից ստացված մուտքեր</c:v>
                </c:pt>
                <c:pt idx="1">
                  <c:v>Օրենքով և իրավական այլ ակտերով սահմանված՝ պետական բյուջե մուտքագրվող այլ եկամուտների գծով նախատեսված մուտքեր</c:v>
                </c:pt>
                <c:pt idx="2">
                  <c:v>պետական սեփականություն հանդիսացող գույքը վարձակալության հանձնելու դիմաց մուտքեր</c:v>
                </c:pt>
                <c:pt idx="3">
                  <c:v>ռեզիդենտներին տրամադրված վարկերի օգտագործման տոկոսավճարներից մուտքեր</c:v>
                </c:pt>
                <c:pt idx="4">
                  <c:v>բանկերում և այլ ֆինանսավարկային հաստատություններում բյուջեի ժամանակավոր ազատ միջոցների տեղաբաշխումից և դեպոզիտներից մուտքեր</c:v>
                </c:pt>
                <c:pt idx="5">
                  <c:v>ապրանքների մատակարարումից և ծառայությունների մատուցումից եկամուտներ</c:v>
                </c:pt>
                <c:pt idx="6">
                  <c:v>իրավախախտումների համար գործադիր, դատական մարմինների կողմից կիրառվող պատժամիջոցներից մուտքեր</c:v>
                </c:pt>
              </c:strCache>
            </c:strRef>
          </c:cat>
          <c:val>
            <c:numRef>
              <c:f>'Հարկեր 2'!$B$2:$B$8</c:f>
              <c:numCache>
                <c:formatCode>#,##0.00;[Red]#,##0.00</c:formatCode>
                <c:ptCount val="7"/>
                <c:pt idx="0">
                  <c:v>0.38000000000000006</c:v>
                </c:pt>
                <c:pt idx="1">
                  <c:v>0.91</c:v>
                </c:pt>
                <c:pt idx="2" formatCode="#,##0.000;[Red]#,##0.000">
                  <c:v>2.5000000000000001E-2</c:v>
                </c:pt>
                <c:pt idx="3">
                  <c:v>0.51</c:v>
                </c:pt>
                <c:pt idx="4">
                  <c:v>0.43000000000000005</c:v>
                </c:pt>
                <c:pt idx="5" formatCode="#,##0.0;[Red]#,##0.0">
                  <c:v>1.5</c:v>
                </c:pt>
                <c:pt idx="6">
                  <c:v>0.96000000000000008</c:v>
                </c:pt>
              </c:numCache>
            </c:numRef>
          </c:val>
        </c:ser>
        <c:dLbls>
          <c:showVal val="1"/>
        </c:dLbls>
        <c:overlap val="-25"/>
        <c:axId val="122990976"/>
        <c:axId val="122992512"/>
      </c:barChart>
      <c:catAx>
        <c:axId val="1229909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  <c:crossAx val="122992512"/>
        <c:crosses val="autoZero"/>
        <c:auto val="1"/>
        <c:lblAlgn val="ctr"/>
        <c:lblOffset val="100"/>
      </c:catAx>
      <c:valAx>
        <c:axId val="122992512"/>
        <c:scaling>
          <c:orientation val="minMax"/>
        </c:scaling>
        <c:delete val="1"/>
        <c:axPos val="l"/>
        <c:numFmt formatCode="#,##0.00;[Red]#,##0.00" sourceLinked="1"/>
        <c:tickLblPos val="nextTo"/>
        <c:crossAx val="122990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2018-03-29T12:43:00Z</cp:lastPrinted>
  <dcterms:created xsi:type="dcterms:W3CDTF">2017-10-31T10:00:00Z</dcterms:created>
  <dcterms:modified xsi:type="dcterms:W3CDTF">2018-03-29T12:49:00Z</dcterms:modified>
</cp:coreProperties>
</file>