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714166" w:rsidRDefault="00173A69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Պատրաստված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է </w:t>
      </w:r>
      <w:r w:rsidR="00EE330C" w:rsidRPr="00714166">
        <w:rPr>
          <w:rFonts w:ascii="GHEA Grapalat" w:hAnsi="GHEA Grapalat"/>
          <w:b/>
          <w:i/>
          <w:sz w:val="16"/>
          <w:szCs w:val="16"/>
        </w:rPr>
        <w:t xml:space="preserve">ՀՀ </w:t>
      </w:r>
      <w:r w:rsidRPr="00714166">
        <w:rPr>
          <w:rFonts w:ascii="GHEA Grapalat" w:hAnsi="GHEA Grapalat"/>
          <w:b/>
          <w:i/>
          <w:sz w:val="16"/>
          <w:szCs w:val="16"/>
        </w:rPr>
        <w:t xml:space="preserve">ԱԺ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բյուջետային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գրասենյակի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կողմից</w:t>
      </w:r>
      <w:proofErr w:type="spellEnd"/>
    </w:p>
    <w:p w:rsidR="00173A69" w:rsidRPr="003314D4" w:rsidRDefault="00691BBD" w:rsidP="009A5C6E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3314D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691BBD" w:rsidRPr="007B05AA" w:rsidRDefault="007B05AA" w:rsidP="007B05A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proofErr w:type="gramStart"/>
      <w:r>
        <w:rPr>
          <w:rFonts w:ascii="GHEA Grapalat" w:eastAsia="Times New Roman" w:hAnsi="GHEA Grapalat" w:cs="Arial"/>
          <w:b/>
          <w:sz w:val="24"/>
          <w:szCs w:val="24"/>
        </w:rPr>
        <w:t>ՀՀ</w:t>
      </w:r>
      <w:r w:rsidR="00BB0E30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2017-2018</w:t>
      </w:r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թթ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.</w:t>
      </w:r>
      <w:proofErr w:type="gram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proofErr w:type="gram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պետական</w:t>
      </w:r>
      <w:proofErr w:type="spellEnd"/>
      <w:proofErr w:type="gram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բյուջեների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եկամուտների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վերաբերյալ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(</w:t>
      </w:r>
      <w:proofErr w:type="spellStart"/>
      <w:r w:rsidR="002E317A">
        <w:rPr>
          <w:rFonts w:ascii="GHEA Grapalat" w:eastAsia="Times New Roman" w:hAnsi="GHEA Grapalat" w:cs="Arial"/>
          <w:b/>
          <w:sz w:val="24"/>
          <w:szCs w:val="24"/>
        </w:rPr>
        <w:t>առաջին</w:t>
      </w:r>
      <w:proofErr w:type="spellEnd"/>
      <w:r w:rsidR="002E317A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2E317A">
        <w:rPr>
          <w:rFonts w:ascii="GHEA Grapalat" w:eastAsia="Times New Roman" w:hAnsi="GHEA Grapalat" w:cs="Arial"/>
          <w:b/>
          <w:sz w:val="24"/>
          <w:szCs w:val="24"/>
        </w:rPr>
        <w:t>կիսամյակ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)`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D72992" w:rsidRPr="003314D4">
        <w:rPr>
          <w:rFonts w:ascii="GHEA Grapalat" w:eastAsia="Times New Roman" w:hAnsi="GHEA Grapalat" w:cs="Arial"/>
          <w:b/>
          <w:sz w:val="24"/>
          <w:szCs w:val="24"/>
        </w:rPr>
        <w:t>գ</w:t>
      </w:r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ծապատկերներով</w:t>
      </w:r>
      <w:proofErr w:type="spellEnd"/>
      <w:r w:rsidR="005B32B8" w:rsidRPr="008D6554">
        <w:rPr>
          <w:rFonts w:ascii="GHEA Grapalat" w:eastAsia="Times New Roman" w:hAnsi="GHEA Grapalat" w:cs="Arial"/>
          <w:b/>
          <w:sz w:val="20"/>
          <w:szCs w:val="20"/>
        </w:rPr>
        <w:t xml:space="preserve">  </w:t>
      </w:r>
      <w:r w:rsidR="00A261CA" w:rsidRPr="008D6554"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A261CA">
        <w:rPr>
          <w:rFonts w:ascii="GHEA Grapalat" w:eastAsia="Times New Roman" w:hAnsi="GHEA Grapalat" w:cs="Arial"/>
          <w:sz w:val="24"/>
          <w:szCs w:val="24"/>
        </w:rPr>
        <w:t xml:space="preserve">       </w:t>
      </w:r>
      <w:r w:rsidR="005B32B8"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</w:t>
      </w:r>
    </w:p>
    <w:p w:rsidR="00B71918" w:rsidRPr="003314D4" w:rsidRDefault="00B71918" w:rsidP="003314D4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FF0000"/>
          <w:sz w:val="8"/>
          <w:szCs w:val="8"/>
        </w:rPr>
      </w:pPr>
    </w:p>
    <w:p w:rsidR="00866A82" w:rsidRPr="00F22D92" w:rsidRDefault="00F22D92" w:rsidP="006B70F0">
      <w:pPr>
        <w:spacing w:after="120"/>
        <w:jc w:val="center"/>
        <w:rPr>
          <w:rFonts w:ascii="GHEA Grapalat" w:hAnsi="GHEA Grapalat" w:cs="Sylfaen"/>
          <w:b/>
          <w:color w:val="FF0000"/>
          <w:sz w:val="20"/>
          <w:szCs w:val="20"/>
        </w:rPr>
      </w:pPr>
      <w:r w:rsidRPr="006B70F0">
        <w:rPr>
          <w:rFonts w:ascii="GHEA Grapalat" w:hAnsi="GHEA Grapalat" w:cs="Sylfaen"/>
          <w:b/>
          <w:sz w:val="20"/>
          <w:szCs w:val="20"/>
        </w:rPr>
        <w:t>(</w:t>
      </w:r>
      <w:proofErr w:type="spellStart"/>
      <w:r w:rsidR="006B70F0" w:rsidRPr="006B70F0">
        <w:rPr>
          <w:rFonts w:ascii="GHEA Grapalat" w:hAnsi="GHEA Grapalat" w:cs="Sylfaen"/>
          <w:sz w:val="16"/>
          <w:szCs w:val="16"/>
        </w:rPr>
        <w:t>Տեղեկատվության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աղբյուրներ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են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հանդիսացել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r w:rsidR="006B70F0">
        <w:rPr>
          <w:rFonts w:ascii="GHEA Grapalat" w:hAnsi="GHEA Grapalat" w:cs="Sylfaen"/>
          <w:sz w:val="16"/>
          <w:szCs w:val="16"/>
        </w:rPr>
        <w:t>ՀՀ</w:t>
      </w:r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ֆինանսների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ինտերնետային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կայքում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հրապարակված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r w:rsidR="006B70F0">
        <w:rPr>
          <w:rFonts w:ascii="GHEA Grapalat" w:hAnsi="GHEA Grapalat" w:cs="Sylfaen"/>
          <w:sz w:val="16"/>
          <w:szCs w:val="16"/>
        </w:rPr>
        <w:t>ՀՀ</w:t>
      </w:r>
      <w:r w:rsidR="006B70F0" w:rsidRPr="001C70EA">
        <w:rPr>
          <w:rFonts w:ascii="GHEA Grapalat" w:hAnsi="GHEA Grapalat"/>
          <w:sz w:val="16"/>
          <w:szCs w:val="16"/>
        </w:rPr>
        <w:t xml:space="preserve"> 201</w:t>
      </w:r>
      <w:r w:rsidR="006B70F0">
        <w:rPr>
          <w:rFonts w:ascii="GHEA Grapalat" w:hAnsi="GHEA Grapalat"/>
          <w:sz w:val="16"/>
          <w:szCs w:val="16"/>
        </w:rPr>
        <w:t>5</w:t>
      </w:r>
      <w:r w:rsidR="006B70F0" w:rsidRPr="001C70EA">
        <w:rPr>
          <w:rFonts w:ascii="GHEA Grapalat" w:hAnsi="GHEA Grapalat"/>
          <w:sz w:val="16"/>
          <w:szCs w:val="16"/>
        </w:rPr>
        <w:t xml:space="preserve">-2018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թթ</w:t>
      </w:r>
      <w:proofErr w:type="spellEnd"/>
      <w:r w:rsidR="006B70F0" w:rsidRPr="001C70E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պետական</w:t>
      </w:r>
      <w:proofErr w:type="spellEnd"/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բյուջեների</w:t>
      </w:r>
      <w:proofErr w:type="spellEnd"/>
      <w:r w:rsidR="006B70F0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6B70F0">
        <w:rPr>
          <w:rFonts w:ascii="GHEA Grapalat" w:hAnsi="GHEA Grapalat" w:cs="Sylfaen"/>
          <w:sz w:val="16"/>
          <w:szCs w:val="16"/>
        </w:rPr>
        <w:t>առաջին</w:t>
      </w:r>
      <w:proofErr w:type="spellEnd"/>
      <w:r w:rsidR="006B70F0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proofErr w:type="gramStart"/>
      <w:r w:rsidR="006B70F0">
        <w:rPr>
          <w:rFonts w:ascii="GHEA Grapalat" w:hAnsi="GHEA Grapalat" w:cs="Sylfaen"/>
          <w:sz w:val="16"/>
          <w:szCs w:val="16"/>
        </w:rPr>
        <w:t>կիսամյակների</w:t>
      </w:r>
      <w:proofErr w:type="spellEnd"/>
      <w:r w:rsidR="006B70F0">
        <w:rPr>
          <w:rFonts w:ascii="GHEA Grapalat" w:hAnsi="GHEA Grapalat" w:cs="Sylfaen"/>
          <w:sz w:val="16"/>
          <w:szCs w:val="16"/>
        </w:rPr>
        <w:t xml:space="preserve"> </w:t>
      </w:r>
      <w:r w:rsidR="006B70F0" w:rsidRPr="001C70EA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B70F0" w:rsidRPr="001C70EA">
        <w:rPr>
          <w:rFonts w:ascii="GHEA Grapalat" w:hAnsi="GHEA Grapalat" w:cs="Sylfaen"/>
          <w:sz w:val="16"/>
          <w:szCs w:val="16"/>
        </w:rPr>
        <w:t>կատարման</w:t>
      </w:r>
      <w:proofErr w:type="spellEnd"/>
      <w:proofErr w:type="gramEnd"/>
      <w:r w:rsidR="006B70F0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="006B70F0">
        <w:rPr>
          <w:rFonts w:ascii="GHEA Grapalat" w:hAnsi="GHEA Grapalat" w:cs="Sylfaen"/>
          <w:sz w:val="16"/>
          <w:szCs w:val="16"/>
        </w:rPr>
        <w:t>հաշվետվությունները</w:t>
      </w:r>
      <w:proofErr w:type="spellEnd"/>
      <w:r w:rsidR="006B70F0">
        <w:rPr>
          <w:rFonts w:ascii="GHEA Grapalat" w:hAnsi="GHEA Grapalat" w:cs="Sylfaen"/>
          <w:sz w:val="16"/>
          <w:szCs w:val="16"/>
        </w:rPr>
        <w:t>)</w:t>
      </w:r>
    </w:p>
    <w:p w:rsidR="00CA3083" w:rsidRDefault="00E414E1" w:rsidP="006B70F0">
      <w:pPr>
        <w:spacing w:after="120"/>
        <w:rPr>
          <w:rFonts w:ascii="GHEA Grapalat" w:hAnsi="GHEA Grapalat" w:cs="Sylfaen"/>
        </w:rPr>
      </w:pPr>
      <w:r w:rsidRPr="00E414E1">
        <w:rPr>
          <w:rFonts w:ascii="GHEA Grapalat" w:hAnsi="GHEA Grapalat" w:cs="Sylfaen"/>
          <w:noProof/>
        </w:rPr>
        <w:drawing>
          <wp:inline distT="0" distB="0" distL="0" distR="0">
            <wp:extent cx="4581525" cy="2562225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D3C8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</w:t>
      </w:r>
      <w:r w:rsidR="003D3C80" w:rsidRPr="003D3C80">
        <w:rPr>
          <w:rFonts w:ascii="GHEA Grapalat" w:hAnsi="GHEA Grapalat" w:cs="Sylfaen"/>
          <w:noProof/>
        </w:rPr>
        <w:drawing>
          <wp:inline distT="0" distB="0" distL="0" distR="0">
            <wp:extent cx="4438650" cy="2562225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GHEA Grapalat" w:hAnsi="GHEA Grapalat" w:cs="Sylfaen"/>
        </w:rPr>
        <w:t xml:space="preserve">  </w:t>
      </w:r>
      <w:r w:rsidR="00E036AA">
        <w:rPr>
          <w:rFonts w:ascii="GHEA Grapalat" w:hAnsi="GHEA Grapalat" w:cs="Sylfaen"/>
        </w:rPr>
        <w:t xml:space="preserve">  </w:t>
      </w:r>
      <w:r w:rsidR="00594BFE">
        <w:rPr>
          <w:rFonts w:ascii="GHEA Grapalat" w:hAnsi="GHEA Grapalat" w:cs="Sylfaen"/>
        </w:rPr>
        <w:t xml:space="preserve"> </w:t>
      </w:r>
      <w:r w:rsidR="00CA3083">
        <w:rPr>
          <w:rFonts w:ascii="GHEA Grapalat" w:hAnsi="GHEA Grapalat" w:cs="Sylfaen"/>
        </w:rPr>
        <w:t xml:space="preserve">   </w:t>
      </w:r>
    </w:p>
    <w:p w:rsidR="004477B1" w:rsidRDefault="00594BFE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594BFE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581525" cy="2428875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51A8">
        <w:rPr>
          <w:rFonts w:ascii="GHEA Grapalat" w:hAnsi="GHEA Grapalat" w:cs="Sylfaen"/>
          <w:sz w:val="16"/>
          <w:szCs w:val="16"/>
        </w:rPr>
        <w:t xml:space="preserve">    </w:t>
      </w:r>
      <w:r w:rsidR="00D451A8" w:rsidRPr="00D451A8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4467225" cy="2428875"/>
            <wp:effectExtent l="19050" t="0" r="9525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2481" w:rsidRPr="00CE2481" w:rsidRDefault="00CE2481" w:rsidP="00B71918">
      <w:pPr>
        <w:spacing w:after="0" w:line="240" w:lineRule="auto"/>
        <w:rPr>
          <w:rFonts w:ascii="GHEA Grapalat" w:hAnsi="GHEA Grapalat" w:cs="Sylfaen"/>
          <w:sz w:val="10"/>
          <w:szCs w:val="10"/>
        </w:rPr>
      </w:pPr>
    </w:p>
    <w:p w:rsidR="00CE2481" w:rsidRPr="006B70F0" w:rsidRDefault="00CE2481" w:rsidP="00CE2481">
      <w:pPr>
        <w:spacing w:after="0"/>
        <w:jc w:val="both"/>
        <w:rPr>
          <w:rFonts w:ascii="GHEA Grapalat" w:hAnsi="GHEA Grapalat" w:cs="Sylfaen"/>
          <w:b/>
          <w:sz w:val="18"/>
          <w:szCs w:val="18"/>
        </w:rPr>
      </w:pPr>
      <w:r w:rsidRPr="006B70F0"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</w:rPr>
        <w:t>*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Հարկերի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միասնական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հաշվի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զուտ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մուտքն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առաջին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կիսամյակում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կազմել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է 29.2</w:t>
      </w:r>
      <w:r w:rsidRPr="006B70F0">
        <w:rPr>
          <w:rFonts w:ascii="Courier New" w:hAnsi="Courier New" w:cs="Courier New"/>
          <w:sz w:val="18"/>
          <w:szCs w:val="18"/>
        </w:rPr>
        <w:t> 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մլրդ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որը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, ի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տարբերություն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նախորդ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տարիների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վերոնշյալ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փոփոխությամբ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պայմանավորված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՝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չի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հաշվառվել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որպես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պետական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բյուջեի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եկամուտ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r w:rsidRPr="006B70F0">
        <w:rPr>
          <w:rFonts w:ascii="GHEA Grapalat" w:hAnsi="GHEA Grapalat" w:cs="Sylfaen"/>
          <w:b/>
          <w:sz w:val="18"/>
          <w:szCs w:val="18"/>
        </w:rPr>
        <w:t xml:space="preserve">(2018 թ.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հունվարի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1-ից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ուժի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մեջ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է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մտել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ՀՀ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հարկային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օրենսգիրքը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,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ինչը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հնարավորություն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չի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ընձեռում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 2018 թ.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եկամուտները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համադրել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նախորդ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տարիների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ցուցանիշների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b/>
          <w:sz w:val="18"/>
          <w:szCs w:val="18"/>
        </w:rPr>
        <w:t>հետ</w:t>
      </w:r>
      <w:proofErr w:type="spellEnd"/>
      <w:r w:rsidRPr="006B70F0">
        <w:rPr>
          <w:rFonts w:ascii="GHEA Grapalat" w:hAnsi="GHEA Grapalat" w:cs="Sylfaen"/>
          <w:b/>
          <w:sz w:val="18"/>
          <w:szCs w:val="18"/>
        </w:rPr>
        <w:t>:)</w:t>
      </w:r>
    </w:p>
    <w:p w:rsidR="00CE2481" w:rsidRPr="006B70F0" w:rsidRDefault="00CE2481" w:rsidP="00CE2481">
      <w:pPr>
        <w:spacing w:after="0"/>
        <w:rPr>
          <w:rFonts w:ascii="GHEA Grapalat" w:hAnsi="GHEA Grapalat" w:cs="Sylfaen"/>
          <w:sz w:val="18"/>
          <w:szCs w:val="18"/>
        </w:rPr>
      </w:pPr>
      <w:r w:rsidRPr="006B70F0">
        <w:rPr>
          <w:rFonts w:ascii="GHEA Grapalat" w:hAnsi="GHEA Grapalat" w:cs="Sylfaen"/>
          <w:sz w:val="18"/>
          <w:szCs w:val="18"/>
        </w:rPr>
        <w:t xml:space="preserve">     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Հարկերի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գծով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առաջացած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գերավճարների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վերադարձը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կատարվում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է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հարկերի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միասնական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հաշվով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>:</w:t>
      </w:r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Տնտեսավարողների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հարկային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հաշվետվություններով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2018 թ</w:t>
      </w:r>
      <w:r>
        <w:rPr>
          <w:rFonts w:ascii="GHEA Grapalat" w:hAnsi="GHEA Grapalat" w:cs="Sylfaen"/>
          <w:sz w:val="18"/>
          <w:szCs w:val="18"/>
        </w:rPr>
        <w:t>.</w:t>
      </w:r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հունվարի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1</w:t>
      </w:r>
      <w:r w:rsidRPr="006B70F0">
        <w:rPr>
          <w:rFonts w:ascii="MS Mincho" w:eastAsia="MS Mincho" w:hAnsi="MS Mincho" w:cs="MS Mincho" w:hint="eastAsia"/>
          <w:sz w:val="18"/>
          <w:szCs w:val="18"/>
        </w:rPr>
        <w:t>‑</w:t>
      </w:r>
      <w:r w:rsidRPr="006B70F0">
        <w:rPr>
          <w:rFonts w:ascii="GHEA Grapalat" w:hAnsi="GHEA Grapalat" w:cs="Sylfaen"/>
          <w:sz w:val="18"/>
          <w:szCs w:val="18"/>
        </w:rPr>
        <w:t xml:space="preserve">ի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դրությամբ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կանխավճարների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(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գերավճարների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)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հաշվին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1-</w:t>
      </w:r>
      <w:r w:rsidRPr="006B70F0">
        <w:rPr>
          <w:rFonts w:ascii="GHEA Grapalat" w:hAnsi="GHEA Grapalat" w:cs="Sylfaen"/>
          <w:sz w:val="18"/>
          <w:szCs w:val="18"/>
        </w:rPr>
        <w:t xml:space="preserve">ին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կիսամյակի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հարկային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պարտավորությունների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հետ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հաշվանցման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գումարը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կազմել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է 55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մլրդ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6B70F0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6B70F0">
        <w:rPr>
          <w:rFonts w:ascii="GHEA Grapalat" w:hAnsi="GHEA Grapalat" w:cs="Sylfaen"/>
          <w:sz w:val="18"/>
          <w:szCs w:val="18"/>
        </w:rPr>
        <w:t>:</w:t>
      </w:r>
    </w:p>
    <w:p w:rsidR="00CE2481" w:rsidRDefault="00CE2481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</w:p>
    <w:p w:rsidR="00BC59A4" w:rsidRPr="003314D4" w:rsidRDefault="00BC59A4" w:rsidP="00BC59A4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3314D4">
        <w:rPr>
          <w:rFonts w:ascii="GHEA Grapalat" w:eastAsia="Times New Roman" w:hAnsi="GHEA Grapalat" w:cs="Arial"/>
          <w:b/>
          <w:bCs/>
          <w:sz w:val="24"/>
          <w:szCs w:val="24"/>
        </w:rPr>
        <w:lastRenderedPageBreak/>
        <w:t>ՏԵՂԵԿԱՆՔ</w:t>
      </w:r>
    </w:p>
    <w:p w:rsidR="00BC59A4" w:rsidRPr="007B05AA" w:rsidRDefault="00BC59A4" w:rsidP="00BC59A4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proofErr w:type="gramStart"/>
      <w:r>
        <w:rPr>
          <w:rFonts w:ascii="GHEA Grapalat" w:eastAsia="Times New Roman" w:hAnsi="GHEA Grapalat" w:cs="Arial"/>
          <w:b/>
          <w:sz w:val="24"/>
          <w:szCs w:val="24"/>
        </w:rPr>
        <w:t>ՀՀ 2015</w:t>
      </w:r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-2018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թթ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>.</w:t>
      </w:r>
      <w:proofErr w:type="gram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proofErr w:type="gramStart"/>
      <w:r w:rsidRPr="003314D4">
        <w:rPr>
          <w:rFonts w:ascii="GHEA Grapalat" w:eastAsia="Times New Roman" w:hAnsi="GHEA Grapalat" w:cs="Arial"/>
          <w:b/>
          <w:sz w:val="24"/>
          <w:szCs w:val="24"/>
        </w:rPr>
        <w:t>պետական</w:t>
      </w:r>
      <w:proofErr w:type="spellEnd"/>
      <w:proofErr w:type="gram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բյուջեների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դեֆիցիտների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պակասուրդների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>)</w:t>
      </w:r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վերաբերյալ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առաջին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կիսամյակ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>)`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գծապատկերներով</w:t>
      </w:r>
      <w:proofErr w:type="spellEnd"/>
      <w:r w:rsidRPr="008D6554">
        <w:rPr>
          <w:rFonts w:ascii="GHEA Grapalat" w:eastAsia="Times New Roman" w:hAnsi="GHEA Grapalat" w:cs="Arial"/>
          <w:b/>
          <w:sz w:val="20"/>
          <w:szCs w:val="20"/>
        </w:rPr>
        <w:t xml:space="preserve">  </w:t>
      </w:r>
      <w:r w:rsidRPr="008D6554"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>
        <w:rPr>
          <w:rFonts w:ascii="GHEA Grapalat" w:eastAsia="Times New Roman" w:hAnsi="GHEA Grapalat" w:cs="Arial"/>
          <w:sz w:val="24"/>
          <w:szCs w:val="24"/>
        </w:rPr>
        <w:t xml:space="preserve">       </w:t>
      </w:r>
      <w:r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</w:t>
      </w:r>
    </w:p>
    <w:p w:rsidR="00BC59A4" w:rsidRDefault="00BC59A4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</w:p>
    <w:p w:rsidR="00CB436A" w:rsidRDefault="00BC59A4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BC59A4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935355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GHEA Grapalat" w:hAnsi="GHEA Grapalat" w:cs="Sylfaen"/>
          <w:sz w:val="16"/>
          <w:szCs w:val="16"/>
        </w:rPr>
        <w:t xml:space="preserve">   </w:t>
      </w:r>
    </w:p>
    <w:p w:rsidR="00CB436A" w:rsidRDefault="00CB436A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</w:p>
    <w:p w:rsidR="00CB436A" w:rsidRDefault="0040709F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40709F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9410700" cy="3076575"/>
            <wp:effectExtent l="19050" t="0" r="19050" b="0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436A" w:rsidRPr="003314D4" w:rsidRDefault="00CB436A" w:rsidP="00CB436A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3314D4">
        <w:rPr>
          <w:rFonts w:ascii="GHEA Grapalat" w:eastAsia="Times New Roman" w:hAnsi="GHEA Grapalat" w:cs="Arial"/>
          <w:b/>
          <w:bCs/>
          <w:sz w:val="24"/>
          <w:szCs w:val="24"/>
        </w:rPr>
        <w:lastRenderedPageBreak/>
        <w:t>ՏԵՂԵԿԱՆՔ</w:t>
      </w:r>
    </w:p>
    <w:p w:rsidR="00CB436A" w:rsidRPr="007B05AA" w:rsidRDefault="00CB436A" w:rsidP="00CB436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proofErr w:type="gramStart"/>
      <w:r>
        <w:rPr>
          <w:rFonts w:ascii="GHEA Grapalat" w:eastAsia="Times New Roman" w:hAnsi="GHEA Grapalat" w:cs="Arial"/>
          <w:b/>
          <w:sz w:val="24"/>
          <w:szCs w:val="24"/>
        </w:rPr>
        <w:t>ՀՀ 2015</w:t>
      </w:r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-2018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թթ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>.</w:t>
      </w:r>
      <w:proofErr w:type="gram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proofErr w:type="gramStart"/>
      <w:r w:rsidRPr="003314D4">
        <w:rPr>
          <w:rFonts w:ascii="GHEA Grapalat" w:eastAsia="Times New Roman" w:hAnsi="GHEA Grapalat" w:cs="Arial"/>
          <w:b/>
          <w:sz w:val="24"/>
          <w:szCs w:val="24"/>
        </w:rPr>
        <w:t>պետական</w:t>
      </w:r>
      <w:proofErr w:type="spellEnd"/>
      <w:proofErr w:type="gram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բյուջեների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ծախսերի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վերաբերյալ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առաջին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կիսամյակ</w:t>
      </w:r>
      <w:proofErr w:type="spellEnd"/>
      <w:r w:rsidRPr="003314D4">
        <w:rPr>
          <w:rFonts w:ascii="GHEA Grapalat" w:eastAsia="Times New Roman" w:hAnsi="GHEA Grapalat" w:cs="Arial"/>
          <w:b/>
          <w:sz w:val="24"/>
          <w:szCs w:val="24"/>
        </w:rPr>
        <w:t>)`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Pr="003314D4">
        <w:rPr>
          <w:rFonts w:ascii="GHEA Grapalat" w:eastAsia="Times New Roman" w:hAnsi="GHEA Grapalat" w:cs="Arial"/>
          <w:b/>
          <w:sz w:val="24"/>
          <w:szCs w:val="24"/>
        </w:rPr>
        <w:t>գծապատկերներով</w:t>
      </w:r>
      <w:proofErr w:type="spellEnd"/>
      <w:r w:rsidRPr="008D6554">
        <w:rPr>
          <w:rFonts w:ascii="GHEA Grapalat" w:eastAsia="Times New Roman" w:hAnsi="GHEA Grapalat" w:cs="Arial"/>
          <w:b/>
          <w:sz w:val="20"/>
          <w:szCs w:val="20"/>
        </w:rPr>
        <w:t xml:space="preserve">  </w:t>
      </w:r>
      <w:r w:rsidRPr="008D6554"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>
        <w:rPr>
          <w:rFonts w:ascii="GHEA Grapalat" w:eastAsia="Times New Roman" w:hAnsi="GHEA Grapalat" w:cs="Arial"/>
          <w:sz w:val="24"/>
          <w:szCs w:val="24"/>
        </w:rPr>
        <w:t xml:space="preserve">       </w:t>
      </w:r>
      <w:r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</w:t>
      </w:r>
    </w:p>
    <w:p w:rsidR="00CB436A" w:rsidRDefault="00CB436A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</w:p>
    <w:p w:rsidR="00A732D3" w:rsidRDefault="00C90769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C90769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9410700" cy="3204210"/>
            <wp:effectExtent l="19050" t="0" r="1905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32D3" w:rsidRDefault="00A732D3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</w:p>
    <w:p w:rsidR="00841BE9" w:rsidRDefault="00841BE9" w:rsidP="00B71918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841BE9">
        <w:rPr>
          <w:rFonts w:ascii="GHEA Grapalat" w:hAnsi="GHEA Grapalat" w:cs="Sylfaen"/>
          <w:noProof/>
          <w:sz w:val="16"/>
          <w:szCs w:val="16"/>
        </w:rPr>
        <w:drawing>
          <wp:inline distT="0" distB="0" distL="0" distR="0">
            <wp:extent cx="9410700" cy="3371850"/>
            <wp:effectExtent l="19050" t="0" r="1905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841BE9" w:rsidSect="00841BE9">
      <w:pgSz w:w="15840" w:h="12240" w:orient="landscape"/>
      <w:pgMar w:top="45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0686A"/>
    <w:rsid w:val="00073787"/>
    <w:rsid w:val="000872D6"/>
    <w:rsid w:val="000B64F2"/>
    <w:rsid w:val="00113D8C"/>
    <w:rsid w:val="00116141"/>
    <w:rsid w:val="0016256A"/>
    <w:rsid w:val="00163C38"/>
    <w:rsid w:val="00173A69"/>
    <w:rsid w:val="00180890"/>
    <w:rsid w:val="0019261D"/>
    <w:rsid w:val="0019674F"/>
    <w:rsid w:val="001A2909"/>
    <w:rsid w:val="001C1E51"/>
    <w:rsid w:val="001C314C"/>
    <w:rsid w:val="001C70EA"/>
    <w:rsid w:val="001F75CD"/>
    <w:rsid w:val="002272E5"/>
    <w:rsid w:val="00230D6A"/>
    <w:rsid w:val="0023373E"/>
    <w:rsid w:val="00234DE6"/>
    <w:rsid w:val="00256212"/>
    <w:rsid w:val="00283215"/>
    <w:rsid w:val="00291EAC"/>
    <w:rsid w:val="002C450F"/>
    <w:rsid w:val="002E317A"/>
    <w:rsid w:val="003314D4"/>
    <w:rsid w:val="003903FB"/>
    <w:rsid w:val="003B3391"/>
    <w:rsid w:val="003C04F6"/>
    <w:rsid w:val="003C5FED"/>
    <w:rsid w:val="003C620F"/>
    <w:rsid w:val="003C7C18"/>
    <w:rsid w:val="003D3C80"/>
    <w:rsid w:val="003E3CEE"/>
    <w:rsid w:val="003E7D7A"/>
    <w:rsid w:val="003F4A5F"/>
    <w:rsid w:val="0040709F"/>
    <w:rsid w:val="004477B1"/>
    <w:rsid w:val="004514B4"/>
    <w:rsid w:val="00453866"/>
    <w:rsid w:val="00493531"/>
    <w:rsid w:val="004A0252"/>
    <w:rsid w:val="004C2632"/>
    <w:rsid w:val="004D1EF0"/>
    <w:rsid w:val="004D721B"/>
    <w:rsid w:val="00510552"/>
    <w:rsid w:val="00526BC2"/>
    <w:rsid w:val="005370AE"/>
    <w:rsid w:val="005768CB"/>
    <w:rsid w:val="00577BCF"/>
    <w:rsid w:val="0058408A"/>
    <w:rsid w:val="00594BFE"/>
    <w:rsid w:val="005A3724"/>
    <w:rsid w:val="005A6FB5"/>
    <w:rsid w:val="005A7921"/>
    <w:rsid w:val="005B32B8"/>
    <w:rsid w:val="005E0FD9"/>
    <w:rsid w:val="005F01F7"/>
    <w:rsid w:val="00605C18"/>
    <w:rsid w:val="00610B2A"/>
    <w:rsid w:val="00657CA8"/>
    <w:rsid w:val="00667486"/>
    <w:rsid w:val="00674204"/>
    <w:rsid w:val="00683FE4"/>
    <w:rsid w:val="00691724"/>
    <w:rsid w:val="00691BBD"/>
    <w:rsid w:val="006A139C"/>
    <w:rsid w:val="006A7C1F"/>
    <w:rsid w:val="006B70F0"/>
    <w:rsid w:val="006C3A90"/>
    <w:rsid w:val="006E7C57"/>
    <w:rsid w:val="00702225"/>
    <w:rsid w:val="007112B3"/>
    <w:rsid w:val="00714166"/>
    <w:rsid w:val="00725F45"/>
    <w:rsid w:val="007263E2"/>
    <w:rsid w:val="00743126"/>
    <w:rsid w:val="00751C9B"/>
    <w:rsid w:val="0075692F"/>
    <w:rsid w:val="007833A4"/>
    <w:rsid w:val="00790D70"/>
    <w:rsid w:val="007A07FF"/>
    <w:rsid w:val="007A30C5"/>
    <w:rsid w:val="007B05AA"/>
    <w:rsid w:val="007E157D"/>
    <w:rsid w:val="008348A9"/>
    <w:rsid w:val="00841BE9"/>
    <w:rsid w:val="00845E5A"/>
    <w:rsid w:val="00857A72"/>
    <w:rsid w:val="00866A82"/>
    <w:rsid w:val="008D4C7E"/>
    <w:rsid w:val="008D6554"/>
    <w:rsid w:val="008E60C4"/>
    <w:rsid w:val="008F6ADD"/>
    <w:rsid w:val="00902412"/>
    <w:rsid w:val="009056F8"/>
    <w:rsid w:val="00906274"/>
    <w:rsid w:val="0093464C"/>
    <w:rsid w:val="00934C96"/>
    <w:rsid w:val="0095789A"/>
    <w:rsid w:val="00961B45"/>
    <w:rsid w:val="00981A88"/>
    <w:rsid w:val="009A5C6E"/>
    <w:rsid w:val="009B73B8"/>
    <w:rsid w:val="009D633F"/>
    <w:rsid w:val="009E53E4"/>
    <w:rsid w:val="00A24485"/>
    <w:rsid w:val="00A24C4C"/>
    <w:rsid w:val="00A261CA"/>
    <w:rsid w:val="00A31794"/>
    <w:rsid w:val="00A54DB0"/>
    <w:rsid w:val="00A6161B"/>
    <w:rsid w:val="00A63E74"/>
    <w:rsid w:val="00A732D3"/>
    <w:rsid w:val="00A7334E"/>
    <w:rsid w:val="00A824BA"/>
    <w:rsid w:val="00A83974"/>
    <w:rsid w:val="00A855AE"/>
    <w:rsid w:val="00AA5EF0"/>
    <w:rsid w:val="00AC1091"/>
    <w:rsid w:val="00AD3113"/>
    <w:rsid w:val="00AE615B"/>
    <w:rsid w:val="00AF339A"/>
    <w:rsid w:val="00B1251F"/>
    <w:rsid w:val="00B33D18"/>
    <w:rsid w:val="00B53F72"/>
    <w:rsid w:val="00B60913"/>
    <w:rsid w:val="00B711C6"/>
    <w:rsid w:val="00B71918"/>
    <w:rsid w:val="00B728BF"/>
    <w:rsid w:val="00B93572"/>
    <w:rsid w:val="00BA4DE7"/>
    <w:rsid w:val="00BB0E30"/>
    <w:rsid w:val="00BC59A4"/>
    <w:rsid w:val="00C1293F"/>
    <w:rsid w:val="00C5174D"/>
    <w:rsid w:val="00C5622D"/>
    <w:rsid w:val="00C56B79"/>
    <w:rsid w:val="00C80DBA"/>
    <w:rsid w:val="00C90769"/>
    <w:rsid w:val="00C90DAB"/>
    <w:rsid w:val="00CA3083"/>
    <w:rsid w:val="00CA6F13"/>
    <w:rsid w:val="00CB436A"/>
    <w:rsid w:val="00CB7BF1"/>
    <w:rsid w:val="00CD48BD"/>
    <w:rsid w:val="00CE1250"/>
    <w:rsid w:val="00CE2481"/>
    <w:rsid w:val="00CE73D3"/>
    <w:rsid w:val="00CF5EDF"/>
    <w:rsid w:val="00CF72D9"/>
    <w:rsid w:val="00D03A5C"/>
    <w:rsid w:val="00D231D5"/>
    <w:rsid w:val="00D25867"/>
    <w:rsid w:val="00D25DF0"/>
    <w:rsid w:val="00D43B7C"/>
    <w:rsid w:val="00D451A8"/>
    <w:rsid w:val="00D55707"/>
    <w:rsid w:val="00D61722"/>
    <w:rsid w:val="00D72992"/>
    <w:rsid w:val="00D8573C"/>
    <w:rsid w:val="00DA6B20"/>
    <w:rsid w:val="00DC6619"/>
    <w:rsid w:val="00E02DB3"/>
    <w:rsid w:val="00E036AA"/>
    <w:rsid w:val="00E17119"/>
    <w:rsid w:val="00E414E1"/>
    <w:rsid w:val="00E54B68"/>
    <w:rsid w:val="00E80926"/>
    <w:rsid w:val="00E91C9A"/>
    <w:rsid w:val="00EB23A8"/>
    <w:rsid w:val="00ED0557"/>
    <w:rsid w:val="00EE330C"/>
    <w:rsid w:val="00F07CF6"/>
    <w:rsid w:val="00F22D92"/>
    <w:rsid w:val="00F3019B"/>
    <w:rsid w:val="00F36205"/>
    <w:rsid w:val="00F51F9A"/>
    <w:rsid w:val="00F73DAE"/>
    <w:rsid w:val="00F834C1"/>
    <w:rsid w:val="00F83BD7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8%20state%20budget%20first%20half\2018%20arajin%20kisamyaki%20texekanqne8\final%20certificates\chart%20base%202018%201%20half\Rev-f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8%20state%20budget%20first%20half\2018%20arajin%20kisamyaki%20texekanqne8\final%20certificates\chart%20base%202018%201%20half\Rev-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amsekan%20texekanqner\ASHOT%20AVETISYAN\&#1333;&#1343;&#1329;&#1348;&#1352;&#1362;&#1359;&#1350;&#1333;&#1360;%202018\hunis-harkayini%20tvyal\june%20revenue\hunvar-&#1392;&#1410;&#1398;&#1387;&#1405;%202018-chart%20bas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amsekan%20texekanqner\ASHOT%20AVETISYAN\&#1333;&#1343;&#1329;&#1348;&#1352;&#1362;&#1359;&#1350;&#1333;&#1360;%202018\hunis-harkayini%20tvyal\june%20revenue\hunvar-&#1392;&#1410;&#1398;&#1387;&#1405;%202018-chart%20bas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8%20state%20budget%20first%20half\2018%20arajin%20kisamyaki%20texekanqne8\final%20certificates\chart%20base%202018%201%20half\deficit-f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8%20state%20budget%20first%20half\2018%20arajin%20kisamyaki%20texekanqne8\final%20certificates\chart%20base%202018%201%20half\deficit-f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8%20state%20budget%20first%20half\2018%20arajin%20kisamyaki%20texekanqne8\final%20certificates\chart%20base%202018%201%20half\expenditure-f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2018%20state%20budget%20first%20half\2018%20arajin%20kisamyaki%20texekanqne8\final%20certificates\chart%20base%202018%201%20half\expenditure-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>
                <a:latin typeface="GHEA Grapalat" pitchFamily="50" charset="0"/>
              </a:defRPr>
            </a:pPr>
            <a:r>
              <a:rPr lang="hy-AM" sz="1050">
                <a:latin typeface="GHEA Grapalat" pitchFamily="50" charset="0"/>
              </a:rPr>
              <a:t>ՀՀ</a:t>
            </a:r>
            <a:r>
              <a:rPr lang="en-US" sz="1050">
                <a:latin typeface="GHEA Grapalat" pitchFamily="50" charset="0"/>
              </a:rPr>
              <a:t> </a:t>
            </a:r>
            <a:r>
              <a:rPr lang="hy-AM" sz="1050">
                <a:latin typeface="GHEA Grapalat" pitchFamily="50" charset="0"/>
              </a:rPr>
              <a:t>2018 թ. առաջին կիսամյակ</a:t>
            </a:r>
            <a:r>
              <a:rPr lang="en-US" sz="1050">
                <a:latin typeface="GHEA Grapalat" pitchFamily="50" charset="0"/>
              </a:rPr>
              <a:t>ի</a:t>
            </a:r>
            <a:r>
              <a:rPr lang="hy-AM" sz="1050">
                <a:latin typeface="GHEA Grapalat" pitchFamily="50" charset="0"/>
              </a:rPr>
              <a:t> պետական բյուջեի եկամուտներ</a:t>
            </a:r>
            <a:r>
              <a:rPr lang="en-US" sz="1050">
                <a:latin typeface="GHEA Grapalat" pitchFamily="50" charset="0"/>
              </a:rPr>
              <a:t> /մլրդ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577996500437445"/>
          <c:y val="0.19480351414406538"/>
          <c:w val="0.8747755905511837"/>
          <c:h val="0.58160396617089594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2018թ. 1-ին կիսամյակ (հաստատված)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407407407407410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407407407407410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Sheet1!$A$6:$A$9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Sheet1!$B$6:$B$9</c:f>
              <c:numCache>
                <c:formatCode>0.0;[Red]0.0</c:formatCode>
                <c:ptCount val="4"/>
                <c:pt idx="0">
                  <c:v>602.6</c:v>
                </c:pt>
                <c:pt idx="1">
                  <c:v>574.9</c:v>
                </c:pt>
                <c:pt idx="2">
                  <c:v>16.100000000000001</c:v>
                </c:pt>
                <c:pt idx="3">
                  <c:v>11.7</c:v>
                </c:pt>
              </c:numCache>
            </c:numRef>
          </c:val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2018թ. (ճշտված)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2.777777777777767E-3"/>
                  <c:y val="0.27314814814814803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2.7777777777777918E-3"/>
                  <c:y val="0.26851851851851855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Sheet1!$A$6:$A$9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Sheet1!$C$6:$C$9</c:f>
              <c:numCache>
                <c:formatCode>0.0;[Red]0.0</c:formatCode>
                <c:ptCount val="4"/>
                <c:pt idx="0">
                  <c:v>627.6</c:v>
                </c:pt>
                <c:pt idx="1">
                  <c:v>579.6</c:v>
                </c:pt>
                <c:pt idx="2">
                  <c:v>17.2</c:v>
                </c:pt>
                <c:pt idx="3">
                  <c:v>30.8</c:v>
                </c:pt>
              </c:numCache>
            </c:numRef>
          </c:val>
        </c:ser>
        <c:ser>
          <c:idx val="2"/>
          <c:order val="2"/>
          <c:tx>
            <c:strRef>
              <c:f>Sheet1!$D$5</c:f>
              <c:strCache>
                <c:ptCount val="1"/>
                <c:pt idx="0">
                  <c:v>2018թ. (փաստացի)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7777777777777918E-3"/>
                  <c:y val="0.27314814814814814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314814814814820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Sheet1!$A$6:$A$9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Sheet1!$D$6:$D$9</c:f>
              <c:numCache>
                <c:formatCode>0.0;[Red]0.0</c:formatCode>
                <c:ptCount val="4"/>
                <c:pt idx="0">
                  <c:v>606.5</c:v>
                </c:pt>
                <c:pt idx="1">
                  <c:v>572.9</c:v>
                </c:pt>
                <c:pt idx="2">
                  <c:v>3.8</c:v>
                </c:pt>
                <c:pt idx="3">
                  <c:v>29.8</c:v>
                </c:pt>
              </c:numCache>
            </c:numRef>
          </c:val>
        </c:ser>
        <c:gapWidth val="75"/>
        <c:overlap val="-25"/>
        <c:axId val="57861632"/>
        <c:axId val="64689664"/>
      </c:barChart>
      <c:catAx>
        <c:axId val="57861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64689664"/>
        <c:crosses val="autoZero"/>
        <c:auto val="1"/>
        <c:lblAlgn val="ctr"/>
        <c:lblOffset val="100"/>
      </c:catAx>
      <c:valAx>
        <c:axId val="64689664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crossAx val="57861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55725518404E-2"/>
          <c:y val="0.91908692070425368"/>
          <c:w val="0.89999988854896384"/>
          <c:h val="8.0913079295744983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>
                <a:latin typeface="GHEA Grapalat" pitchFamily="50" charset="0"/>
              </a:defRPr>
            </a:pPr>
            <a:r>
              <a:rPr lang="hy-AM" sz="1050" b="1" i="0" baseline="0">
                <a:latin typeface="GHEA Grapalat" pitchFamily="50" charset="0"/>
              </a:rPr>
              <a:t>ՀՀ 201</a:t>
            </a:r>
            <a:r>
              <a:rPr lang="en-US" sz="1050" b="1" i="0" baseline="0">
                <a:latin typeface="GHEA Grapalat" pitchFamily="50" charset="0"/>
              </a:rPr>
              <a:t>7</a:t>
            </a:r>
            <a:r>
              <a:rPr lang="hy-AM" sz="1050" b="1" i="0" baseline="0">
                <a:latin typeface="GHEA Grapalat" pitchFamily="50" charset="0"/>
              </a:rPr>
              <a:t>-2018 թթ. առաջին կիսամյակներում պետական բյուջեների եկամուտներ</a:t>
            </a:r>
            <a:r>
              <a:rPr lang="en-US" sz="1050" b="1" i="0" baseline="0">
                <a:latin typeface="GHEA Grapalat" pitchFamily="50" charset="0"/>
              </a:rPr>
              <a:t> (մլրդ դրամ)*</a:t>
            </a:r>
            <a:endParaRPr lang="en-US" sz="105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577996500437445"/>
          <c:y val="0.19480351414406533"/>
          <c:w val="0.87199781277340582"/>
          <c:h val="0.54796332750072907"/>
        </c:manualLayout>
      </c:layout>
      <c:barChart>
        <c:barDir val="col"/>
        <c:grouping val="clustered"/>
        <c:ser>
          <c:idx val="0"/>
          <c:order val="0"/>
          <c:tx>
            <c:strRef>
              <c:f>'[Rev-f.xlsx]Sheet1'!$B$5</c:f>
              <c:strCache>
                <c:ptCount val="1"/>
                <c:pt idx="0">
                  <c:v>2017թ. (փաստացի)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'[Rev-f.xlsx]Sheet1'!$A$6:$A$9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'[Rev-f.xlsx]Sheet1'!$B$6:$B$9</c:f>
              <c:numCache>
                <c:formatCode>0.0;[Red]0.0</c:formatCode>
                <c:ptCount val="4"/>
                <c:pt idx="0">
                  <c:v>581.70000000000005</c:v>
                </c:pt>
                <c:pt idx="1">
                  <c:v>550.6</c:v>
                </c:pt>
                <c:pt idx="2">
                  <c:v>3.9</c:v>
                </c:pt>
                <c:pt idx="3">
                  <c:v>27.2</c:v>
                </c:pt>
              </c:numCache>
            </c:numRef>
          </c:val>
        </c:ser>
        <c:ser>
          <c:idx val="1"/>
          <c:order val="1"/>
          <c:tx>
            <c:strRef>
              <c:f>'[Rev-f.xlsx]Sheet1'!$C$5</c:f>
              <c:strCache>
                <c:ptCount val="1"/>
                <c:pt idx="0">
                  <c:v>2018թ. (փաստացի)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'[Rev-f.xlsx]Sheet1'!$A$6:$A$9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'[Rev-f.xlsx]Sheet1'!$C$6:$C$9</c:f>
              <c:numCache>
                <c:formatCode>0.0;[Red]0.0</c:formatCode>
                <c:ptCount val="4"/>
                <c:pt idx="0">
                  <c:v>606.5</c:v>
                </c:pt>
                <c:pt idx="1">
                  <c:v>572.9</c:v>
                </c:pt>
                <c:pt idx="2">
                  <c:v>3.8</c:v>
                </c:pt>
                <c:pt idx="3">
                  <c:v>29.8</c:v>
                </c:pt>
              </c:numCache>
            </c:numRef>
          </c:val>
        </c:ser>
        <c:gapWidth val="75"/>
        <c:overlap val="-25"/>
        <c:axId val="65375232"/>
        <c:axId val="65386368"/>
      </c:barChart>
      <c:catAx>
        <c:axId val="65375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GHEA Grapalat" pitchFamily="50" charset="0"/>
              </a:defRPr>
            </a:pPr>
            <a:endParaRPr lang="en-US"/>
          </a:p>
        </c:txPr>
        <c:crossAx val="65386368"/>
        <c:crosses val="autoZero"/>
        <c:auto val="1"/>
        <c:lblAlgn val="ctr"/>
        <c:lblOffset val="100"/>
      </c:catAx>
      <c:valAx>
        <c:axId val="65386368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crossAx val="65375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5592015590325934E-3"/>
          <c:y val="0.90615207770561457"/>
          <c:w val="0.97829768060108446"/>
          <c:h val="9.3847922294384767E-2"/>
        </c:manualLayout>
      </c:layout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>
                <a:latin typeface="GHEA Grapalat" pitchFamily="50" charset="0"/>
              </a:defRPr>
            </a:pPr>
            <a:r>
              <a:rPr lang="en-US" sz="1050">
                <a:latin typeface="GHEA Grapalat" pitchFamily="50" charset="0"/>
              </a:rPr>
              <a:t>ՀՀ 2017-2018 թթ. պետական բյուջեների եկամուտներ (մլրդ դրամ)*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2718759113444154"/>
          <c:w val="0.84977559055118457"/>
          <c:h val="0.55421624380285595"/>
        </c:manualLayout>
      </c:layout>
      <c:barChart>
        <c:barDir val="col"/>
        <c:grouping val="clustered"/>
        <c:ser>
          <c:idx val="0"/>
          <c:order val="0"/>
          <c:tx>
            <c:strRef>
              <c:f>Sheet3!$D$6</c:f>
              <c:strCache>
                <c:ptCount val="1"/>
                <c:pt idx="0">
                  <c:v>2017թ. (1-ին կիսամյակ,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1100" b="1"/>
                </a:pPr>
                <a:endParaRPr lang="en-US"/>
              </a:p>
            </c:txPr>
            <c:showVal val="1"/>
          </c:dLbls>
          <c:cat>
            <c:strRef>
              <c:f>Sheet3!$C$7:$C$12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Sheet3!$D$7:$D$12</c:f>
              <c:numCache>
                <c:formatCode>#,##0.0;[Red]#,##0.0</c:formatCode>
                <c:ptCount val="6"/>
                <c:pt idx="0">
                  <c:v>189.2</c:v>
                </c:pt>
                <c:pt idx="1">
                  <c:v>31.8</c:v>
                </c:pt>
                <c:pt idx="2">
                  <c:v>67.2</c:v>
                </c:pt>
                <c:pt idx="3">
                  <c:v>161.19999999999999</c:v>
                </c:pt>
                <c:pt idx="4">
                  <c:v>32.6</c:v>
                </c:pt>
                <c:pt idx="5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Sheet3!$E$6</c:f>
              <c:strCache>
                <c:ptCount val="1"/>
                <c:pt idx="0">
                  <c:v>2018թ. (1-ին կիսամյակ,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 rot="-5400000" vert="horz"/>
              <a:lstStyle/>
              <a:p>
                <a:pPr algn="ctr"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Sheet3!$C$7:$C$12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Sheet3!$E$7:$E$12</c:f>
              <c:numCache>
                <c:formatCode>#,##0.0;[Red]#,##0.0</c:formatCode>
                <c:ptCount val="6"/>
                <c:pt idx="0">
                  <c:v>193.5</c:v>
                </c:pt>
                <c:pt idx="1">
                  <c:v>48.8</c:v>
                </c:pt>
                <c:pt idx="2">
                  <c:v>97.9</c:v>
                </c:pt>
                <c:pt idx="3">
                  <c:v>168.3</c:v>
                </c:pt>
                <c:pt idx="4">
                  <c:v>39</c:v>
                </c:pt>
                <c:pt idx="5">
                  <c:v>31.9</c:v>
                </c:pt>
              </c:numCache>
            </c:numRef>
          </c:val>
        </c:ser>
        <c:gapWidth val="75"/>
        <c:overlap val="-25"/>
        <c:axId val="65423616"/>
        <c:axId val="65479040"/>
      </c:barChart>
      <c:catAx>
        <c:axId val="65423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0">
                <a:latin typeface="GHEA Grapalat" pitchFamily="50" charset="0"/>
              </a:defRPr>
            </a:pPr>
            <a:endParaRPr lang="en-US"/>
          </a:p>
        </c:txPr>
        <c:crossAx val="65479040"/>
        <c:crosses val="autoZero"/>
        <c:auto val="1"/>
        <c:lblAlgn val="ctr"/>
        <c:lblOffset val="100"/>
      </c:catAx>
      <c:valAx>
        <c:axId val="6547904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5423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555555555555455E-2"/>
          <c:y val="0.90798556430446198"/>
          <c:w val="0.9"/>
          <c:h val="7.8125546806649154E-2"/>
        </c:manualLayout>
      </c:layout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ՀՀ 2017-2018 թթ. պետական բյուջեների եկամուտներ (</a:t>
            </a:r>
            <a:r>
              <a:rPr lang="en-US" sz="1050">
                <a:latin typeface="GHEA Grapalat" pitchFamily="50" charset="0"/>
              </a:rPr>
              <a:t>մլրդ</a:t>
            </a:r>
            <a:r>
              <a:rPr lang="en-US" sz="1100">
                <a:latin typeface="GHEA Grapalat" pitchFamily="50" charset="0"/>
              </a:rPr>
              <a:t> դրամ)*</a:t>
            </a:r>
          </a:p>
        </c:rich>
      </c:tx>
    </c:title>
    <c:plotArea>
      <c:layout>
        <c:manualLayout>
          <c:layoutTarget val="inner"/>
          <c:xMode val="edge"/>
          <c:yMode val="edge"/>
          <c:x val="0.10558573928259007"/>
          <c:y val="0.19480351414406533"/>
          <c:w val="0.86385870516185481"/>
          <c:h val="0.55347987751531258"/>
        </c:manualLayout>
      </c:layout>
      <c:barChart>
        <c:barDir val="col"/>
        <c:grouping val="clustered"/>
        <c:ser>
          <c:idx val="0"/>
          <c:order val="0"/>
          <c:tx>
            <c:strRef>
              <c:f>Sheet4!$D$5</c:f>
              <c:strCache>
                <c:ptCount val="1"/>
                <c:pt idx="0">
                  <c:v>2017թ. (1-ին կիսամյակ,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Val val="1"/>
          </c:dLbls>
          <c:cat>
            <c:strRef>
              <c:f>Sheet4!$C$6:$C$10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Sheet4!$D$6:$D$10</c:f>
              <c:numCache>
                <c:formatCode>#,##0.0;[Red]#,##0.0</c:formatCode>
                <c:ptCount val="5"/>
                <c:pt idx="0">
                  <c:v>1.7</c:v>
                </c:pt>
                <c:pt idx="1">
                  <c:v>8.2000000000000011</c:v>
                </c:pt>
                <c:pt idx="2">
                  <c:v>7.1</c:v>
                </c:pt>
                <c:pt idx="3">
                  <c:v>13.6</c:v>
                </c:pt>
                <c:pt idx="4" formatCode="0.0_);\(0.0\)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Sheet4!$E$5</c:f>
              <c:strCache>
                <c:ptCount val="1"/>
                <c:pt idx="0">
                  <c:v>2018թ. (1-ին կիսամյակ,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Val val="1"/>
          </c:dLbls>
          <c:cat>
            <c:strRef>
              <c:f>Sheet4!$C$6:$C$10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Sheet4!$E$6:$E$10</c:f>
              <c:numCache>
                <c:formatCode>#,##0.0;[Red]#,##0.0</c:formatCode>
                <c:ptCount val="5"/>
                <c:pt idx="0">
                  <c:v>0</c:v>
                </c:pt>
                <c:pt idx="1">
                  <c:v>9.3000000000000007</c:v>
                </c:pt>
                <c:pt idx="2">
                  <c:v>9.2000000000000011</c:v>
                </c:pt>
                <c:pt idx="3">
                  <c:v>14.3</c:v>
                </c:pt>
                <c:pt idx="4" formatCode="0.0_);\(0.0\)">
                  <c:v>15.5</c:v>
                </c:pt>
              </c:numCache>
            </c:numRef>
          </c:val>
        </c:ser>
        <c:gapWidth val="75"/>
        <c:overlap val="-25"/>
        <c:axId val="65558016"/>
        <c:axId val="65589248"/>
      </c:barChart>
      <c:catAx>
        <c:axId val="65558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65589248"/>
        <c:crosses val="autoZero"/>
        <c:auto val="1"/>
        <c:lblAlgn val="ctr"/>
        <c:lblOffset val="100"/>
      </c:catAx>
      <c:valAx>
        <c:axId val="6558924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5558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881014873141176E-3"/>
          <c:y val="0.85339895013123368"/>
          <c:w val="0.98562357830271219"/>
          <c:h val="0.11882327209098872"/>
        </c:manualLayout>
      </c:layout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1000">
                <a:latin typeface="GHEA Grapalat" pitchFamily="50" charset="0"/>
              </a:rPr>
              <a:t>Պետական բյուջեի դեֆիցիտ</a:t>
            </a:r>
            <a:r>
              <a:rPr lang="en-US" sz="1000">
                <a:latin typeface="GHEA Grapalat" pitchFamily="50" charset="0"/>
              </a:rPr>
              <a:t>ը </a:t>
            </a:r>
            <a:r>
              <a:rPr lang="hy-AM" sz="1000" b="1" i="0" u="none" strike="noStrike" baseline="0"/>
              <a:t>(պակասուրդ</a:t>
            </a:r>
            <a:r>
              <a:rPr lang="en-US" sz="1000" b="1" i="0" u="none" strike="noStrike" baseline="0"/>
              <a:t>ը)</a:t>
            </a:r>
            <a:r>
              <a:rPr lang="en-US" sz="1000">
                <a:latin typeface="GHEA Grapalat" pitchFamily="50" charset="0"/>
              </a:rPr>
              <a:t> և դրա</a:t>
            </a:r>
            <a:r>
              <a:rPr lang="hy-AM" sz="1000">
                <a:latin typeface="GHEA Grapalat" pitchFamily="50" charset="0"/>
              </a:rPr>
              <a:t> ֆինանսավորման աղբյուրները</a:t>
            </a:r>
            <a:r>
              <a:rPr lang="en-US" sz="1000">
                <a:latin typeface="GHEA Grapalat" pitchFamily="50" charset="0"/>
              </a:rPr>
              <a:t> (հազար դրամ)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Sheet2!$B$5</c:f>
              <c:strCache>
                <c:ptCount val="1"/>
                <c:pt idx="0">
                  <c:v>ԸՆԴԱՄԵՆԸ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30555555555555558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Sheet2!$C$4:$E$4</c:f>
              <c:strCache>
                <c:ptCount val="3"/>
                <c:pt idx="0">
                  <c:v>2018թ. 1-ին կիսամյակ (հաստատված)</c:v>
                </c:pt>
                <c:pt idx="1">
                  <c:v>2018թ. 1-ին կիսամյակ (ճշտված)</c:v>
                </c:pt>
                <c:pt idx="2">
                  <c:v>2018թ. 1-ին կիսամյակ (փաստացի)</c:v>
                </c:pt>
              </c:strCache>
            </c:strRef>
          </c:cat>
          <c:val>
            <c:numRef>
              <c:f>Sheet2!$C$5:$E$5</c:f>
              <c:numCache>
                <c:formatCode>#,##0.0_);\(#,##0.0\)</c:formatCode>
                <c:ptCount val="3"/>
                <c:pt idx="0">
                  <c:v>104095048.5</c:v>
                </c:pt>
                <c:pt idx="1">
                  <c:v>110571925.31</c:v>
                </c:pt>
                <c:pt idx="2">
                  <c:v>3869525.4670492057</c:v>
                </c:pt>
              </c:numCache>
            </c:numRef>
          </c:val>
        </c:ser>
        <c:ser>
          <c:idx val="1"/>
          <c:order val="1"/>
          <c:tx>
            <c:strRef>
              <c:f>Sheet2!$B$6</c:f>
              <c:strCache>
                <c:ptCount val="1"/>
                <c:pt idx="0">
                  <c:v>Ներքին աղբյուրներ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0"/>
                  <c:y val="0.314814814814816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32870370370370416"/>
                </c:manualLayout>
              </c:layout>
              <c:dLblPos val="outEnd"/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Sheet2!$C$4:$E$4</c:f>
              <c:strCache>
                <c:ptCount val="3"/>
                <c:pt idx="0">
                  <c:v>2018թ. 1-ին կիսամյակ (հաստատված)</c:v>
                </c:pt>
                <c:pt idx="1">
                  <c:v>2018թ. 1-ին կիսամյակ (ճշտված)</c:v>
                </c:pt>
                <c:pt idx="2">
                  <c:v>2018թ. 1-ին կիսամյակ (փաստացի)</c:v>
                </c:pt>
              </c:strCache>
            </c:strRef>
          </c:cat>
          <c:val>
            <c:numRef>
              <c:f>Sheet2!$C$6:$E$6</c:f>
              <c:numCache>
                <c:formatCode>#,##0.0_);\(#,##0.0\)</c:formatCode>
                <c:ptCount val="3"/>
                <c:pt idx="0">
                  <c:v>79607576.299999997</c:v>
                </c:pt>
                <c:pt idx="1">
                  <c:v>81105496.409999996</c:v>
                </c:pt>
                <c:pt idx="2">
                  <c:v>28894015.256000001</c:v>
                </c:pt>
              </c:numCache>
            </c:numRef>
          </c:val>
        </c:ser>
        <c:ser>
          <c:idx val="2"/>
          <c:order val="2"/>
          <c:tx>
            <c:strRef>
              <c:f>Sheet2!$B$7</c:f>
              <c:strCache>
                <c:ptCount val="1"/>
                <c:pt idx="0">
                  <c:v>Արտաքին աղբյուրներ</c:v>
                </c:pt>
              </c:strCache>
            </c:strRef>
          </c:tx>
          <c:spPr>
            <a:solidFill>
              <a:srgbClr val="FFC000"/>
            </a:solidFill>
            <a:ln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2"/>
              <c:layout>
                <c:manualLayout>
                  <c:x val="1.0185067526416061E-16"/>
                  <c:y val="0.33333333333333331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Sheet2!$C$4:$E$4</c:f>
              <c:strCache>
                <c:ptCount val="3"/>
                <c:pt idx="0">
                  <c:v>2018թ. 1-ին կիսամյակ (հաստատված)</c:v>
                </c:pt>
                <c:pt idx="1">
                  <c:v>2018թ. 1-ին կիսամյակ (ճշտված)</c:v>
                </c:pt>
                <c:pt idx="2">
                  <c:v>2018թ. 1-ին կիսամյակ (փաստացի)</c:v>
                </c:pt>
              </c:strCache>
            </c:strRef>
          </c:cat>
          <c:val>
            <c:numRef>
              <c:f>Sheet2!$C$7:$E$7</c:f>
              <c:numCache>
                <c:formatCode>#,##0.0_);\(#,##0.0\)</c:formatCode>
                <c:ptCount val="3"/>
                <c:pt idx="0">
                  <c:v>24487472.199999999</c:v>
                </c:pt>
                <c:pt idx="1">
                  <c:v>29466428.899999999</c:v>
                </c:pt>
                <c:pt idx="2">
                  <c:v>-25024489.778999999</c:v>
                </c:pt>
              </c:numCache>
            </c:numRef>
          </c:val>
        </c:ser>
        <c:gapWidth val="75"/>
        <c:overlap val="-25"/>
        <c:axId val="68425216"/>
        <c:axId val="68426752"/>
      </c:barChart>
      <c:catAx>
        <c:axId val="68425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68426752"/>
        <c:crosses val="autoZero"/>
        <c:auto val="1"/>
        <c:lblAlgn val="ctr"/>
        <c:lblOffset val="100"/>
      </c:catAx>
      <c:valAx>
        <c:axId val="68426752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spPr>
          <a:ln w="9525">
            <a:noFill/>
          </a:ln>
        </c:spPr>
        <c:crossAx val="68425216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1050">
                <a:latin typeface="GHEA Grapalat" pitchFamily="50" charset="0"/>
              </a:rPr>
              <a:t>Հ</a:t>
            </a:r>
            <a:r>
              <a:rPr lang="en-US" sz="1050">
                <a:latin typeface="GHEA Grapalat" pitchFamily="50" charset="0"/>
              </a:rPr>
              <a:t>Հ</a:t>
            </a:r>
            <a:r>
              <a:rPr lang="hy-AM" sz="1050">
                <a:latin typeface="GHEA Grapalat" pitchFamily="50" charset="0"/>
              </a:rPr>
              <a:t> 2015-2018 թթ. առաջին կիսամյակների պետական բյուջեների դեֆիցիտ</a:t>
            </a:r>
            <a:r>
              <a:rPr lang="en-US" sz="1050">
                <a:latin typeface="GHEA Grapalat" pitchFamily="50" charset="0"/>
              </a:rPr>
              <a:t>ը</a:t>
            </a:r>
            <a:r>
              <a:rPr lang="hy-AM" sz="1050">
                <a:latin typeface="GHEA Grapalat" pitchFamily="50" charset="0"/>
              </a:rPr>
              <a:t> (պակասուրդ</a:t>
            </a:r>
            <a:r>
              <a:rPr lang="en-US" sz="1050">
                <a:latin typeface="GHEA Grapalat" pitchFamily="50" charset="0"/>
              </a:rPr>
              <a:t>ը</a:t>
            </a:r>
            <a:r>
              <a:rPr lang="hy-AM" sz="1050">
                <a:latin typeface="GHEA Grapalat" pitchFamily="50" charset="0"/>
              </a:rPr>
              <a:t>)</a:t>
            </a:r>
            <a:r>
              <a:rPr lang="en-US" sz="1800" b="1" i="0" baseline="0"/>
              <a:t> </a:t>
            </a:r>
            <a:r>
              <a:rPr lang="en-US" sz="1000" b="1" i="0" baseline="0"/>
              <a:t>(հազար դրամ)</a:t>
            </a:r>
            <a:endParaRPr lang="en-US" sz="10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105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3484820470315703"/>
          <c:y val="0"/>
        </c:manualLayout>
      </c:layout>
    </c:title>
    <c:plotArea>
      <c:layout>
        <c:manualLayout>
          <c:layoutTarget val="inner"/>
          <c:xMode val="edge"/>
          <c:yMode val="edge"/>
          <c:x val="0.11199358177393823"/>
          <c:y val="0.19432888597258677"/>
          <c:w val="0.88800641822606152"/>
          <c:h val="0.69323709536307965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1"/>
              <c:layout>
                <c:manualLayout>
                  <c:x val="1.3495276653171389E-3"/>
                  <c:y val="8.4135767858739066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Sheet1!$B$5:$E$5</c:f>
              <c:strCache>
                <c:ptCount val="4"/>
                <c:pt idx="0">
                  <c:v>2015թ. 1-ին կիսամյակ (փաստացի)</c:v>
                </c:pt>
                <c:pt idx="1">
                  <c:v>2016թ. 1-ին կիսամյակ (փաստացի)</c:v>
                </c:pt>
                <c:pt idx="2">
                  <c:v>2017թ. 1-ին կիսամյակ (փաստացի)</c:v>
                </c:pt>
                <c:pt idx="3">
                  <c:v>2018թ. 1-ին կիսամյակ (փաստացի)</c:v>
                </c:pt>
              </c:strCache>
            </c:strRef>
          </c:cat>
          <c:val>
            <c:numRef>
              <c:f>Sheet1!$B$6:$E$6</c:f>
              <c:numCache>
                <c:formatCode>#,##0.0_);\(#,##0.0\)</c:formatCode>
                <c:ptCount val="4"/>
                <c:pt idx="0">
                  <c:v>56569146.295000084</c:v>
                </c:pt>
                <c:pt idx="1">
                  <c:v>84849940.715967923</c:v>
                </c:pt>
                <c:pt idx="2">
                  <c:v>38321948.127800003</c:v>
                </c:pt>
                <c:pt idx="3">
                  <c:v>3869525.4670492057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Ներքին աղբյուրներ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0.4212962962962963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7777777777777913E-3"/>
                  <c:y val="0.1111111111111111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Sheet1!$B$5:$E$5</c:f>
              <c:strCache>
                <c:ptCount val="4"/>
                <c:pt idx="0">
                  <c:v>2015թ. 1-ին կիսամյակ (փաստացի)</c:v>
                </c:pt>
                <c:pt idx="1">
                  <c:v>2016թ. 1-ին կիսամյակ (փաստացի)</c:v>
                </c:pt>
                <c:pt idx="2">
                  <c:v>2017թ. 1-ին կիսամյակ (փաստացի)</c:v>
                </c:pt>
                <c:pt idx="3">
                  <c:v>2018թ. 1-ին կիսամյակ (փաստացի)</c:v>
                </c:pt>
              </c:strCache>
            </c:strRef>
          </c:cat>
          <c:val>
            <c:numRef>
              <c:f>Sheet1!$B$7:$E$7</c:f>
              <c:numCache>
                <c:formatCode>#,##0.0_);\(#,##0.0\)</c:formatCode>
                <c:ptCount val="4"/>
                <c:pt idx="0">
                  <c:v>-71076880.054999948</c:v>
                </c:pt>
                <c:pt idx="1">
                  <c:v>93643706.082099989</c:v>
                </c:pt>
                <c:pt idx="2">
                  <c:v>61679396.396000005</c:v>
                </c:pt>
                <c:pt idx="3">
                  <c:v>28894015.256000001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Արտաքին աղբյուրներ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2.7777777777777913E-3"/>
                  <c:y val="0.3194444444444452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.3379629629629646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0185067526416074E-16"/>
                  <c:y val="0.3703703703703716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7777777777777913E-3"/>
                  <c:y val="0.37962962962963065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Sheet1!$B$5:$E$5</c:f>
              <c:strCache>
                <c:ptCount val="4"/>
                <c:pt idx="0">
                  <c:v>2015թ. 1-ին կիսամյակ (փաստացի)</c:v>
                </c:pt>
                <c:pt idx="1">
                  <c:v>2016թ. 1-ին կիսամյակ (փաստացի)</c:v>
                </c:pt>
                <c:pt idx="2">
                  <c:v>2017թ. 1-ին կիսամյակ (փաստացի)</c:v>
                </c:pt>
                <c:pt idx="3">
                  <c:v>2018թ. 1-ին կիսամյակ (փաստացի)</c:v>
                </c:pt>
              </c:strCache>
            </c:strRef>
          </c:cat>
          <c:val>
            <c:numRef>
              <c:f>Sheet1!$B$8:$E$8</c:f>
              <c:numCache>
                <c:formatCode>#,##0.0_);\(#,##0.0\)</c:formatCode>
                <c:ptCount val="4"/>
                <c:pt idx="0">
                  <c:v>127646026.35000001</c:v>
                </c:pt>
                <c:pt idx="1">
                  <c:v>-8793765.3661322072</c:v>
                </c:pt>
                <c:pt idx="2">
                  <c:v>-23357448.268199999</c:v>
                </c:pt>
                <c:pt idx="3">
                  <c:v>-25024489.778999999</c:v>
                </c:pt>
              </c:numCache>
            </c:numRef>
          </c:val>
        </c:ser>
        <c:gapWidth val="75"/>
        <c:overlap val="-25"/>
        <c:axId val="73709056"/>
        <c:axId val="99632256"/>
      </c:barChart>
      <c:catAx>
        <c:axId val="73709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99632256"/>
        <c:crosses val="autoZero"/>
        <c:auto val="1"/>
        <c:lblAlgn val="ctr"/>
        <c:lblOffset val="100"/>
      </c:catAx>
      <c:valAx>
        <c:axId val="99632256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73709056"/>
        <c:crosses val="autoZero"/>
        <c:crossBetween val="between"/>
      </c:valAx>
    </c:plotArea>
    <c:legend>
      <c:legendPos val="b"/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 b="1" i="0" u="none" strike="noStrike" baseline="0">
                <a:latin typeface="GHEA Grapalat" pitchFamily="50" charset="0"/>
              </a:rPr>
              <a:t>ՀՀ  2018 թ. պետական բյուջեի առաջին կիսամյակի ծախսերը ( մլրդ դրամ)</a:t>
            </a:r>
            <a:endParaRPr lang="en-US" sz="11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2452875208780732E-2"/>
          <c:y val="0.15671344154606459"/>
          <c:w val="0.93291870024511403"/>
          <c:h val="0.62866794017611705"/>
        </c:manualLayout>
      </c:layout>
      <c:barChart>
        <c:barDir val="col"/>
        <c:grouping val="clustered"/>
        <c:ser>
          <c:idx val="0"/>
          <c:order val="0"/>
          <c:tx>
            <c:strRef>
              <c:f>functional!$B$6</c:f>
              <c:strCache>
                <c:ptCount val="1"/>
                <c:pt idx="0">
                  <c:v>2018թ. 1-ին կիսամյակ (հաստատված)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functional!$A$7:$A$18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functional!$B$7:$B$18</c:f>
              <c:numCache>
                <c:formatCode>#,##0.0;[Red]#,##0.0</c:formatCode>
                <c:ptCount val="12"/>
                <c:pt idx="0">
                  <c:v>706.7</c:v>
                </c:pt>
                <c:pt idx="1">
                  <c:v>136.1</c:v>
                </c:pt>
                <c:pt idx="2">
                  <c:v>114.1</c:v>
                </c:pt>
                <c:pt idx="3">
                  <c:v>47.8</c:v>
                </c:pt>
                <c:pt idx="4">
                  <c:v>76.599999999999994</c:v>
                </c:pt>
                <c:pt idx="5">
                  <c:v>5.6</c:v>
                </c:pt>
                <c:pt idx="6">
                  <c:v>8.7000000000000011</c:v>
                </c:pt>
                <c:pt idx="7">
                  <c:v>37.700000000000003</c:v>
                </c:pt>
                <c:pt idx="8">
                  <c:v>12.1</c:v>
                </c:pt>
                <c:pt idx="9">
                  <c:v>55</c:v>
                </c:pt>
                <c:pt idx="10">
                  <c:v>202.9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functional!$C$6</c:f>
              <c:strCache>
                <c:ptCount val="1"/>
                <c:pt idx="0">
                  <c:v>2018թ. 1-ին կիսամյակ (ճշտված)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 rot="-5400000" vert="horz"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functional!$A$7:$A$18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functional!$C$7:$C$18</c:f>
              <c:numCache>
                <c:formatCode>#,##0.0;[Red]#,##0.0</c:formatCode>
                <c:ptCount val="12"/>
                <c:pt idx="0">
                  <c:v>738.1</c:v>
                </c:pt>
                <c:pt idx="1">
                  <c:v>141.5</c:v>
                </c:pt>
                <c:pt idx="2">
                  <c:v>114.6</c:v>
                </c:pt>
                <c:pt idx="3">
                  <c:v>60.4</c:v>
                </c:pt>
                <c:pt idx="4">
                  <c:v>80.8</c:v>
                </c:pt>
                <c:pt idx="5">
                  <c:v>5.6</c:v>
                </c:pt>
                <c:pt idx="6">
                  <c:v>12.4</c:v>
                </c:pt>
                <c:pt idx="7">
                  <c:v>37.5</c:v>
                </c:pt>
                <c:pt idx="8">
                  <c:v>12.1</c:v>
                </c:pt>
                <c:pt idx="9">
                  <c:v>54.9</c:v>
                </c:pt>
                <c:pt idx="10">
                  <c:v>206.3</c:v>
                </c:pt>
                <c:pt idx="11">
                  <c:v>12</c:v>
                </c:pt>
              </c:numCache>
            </c:numRef>
          </c:val>
        </c:ser>
        <c:ser>
          <c:idx val="2"/>
          <c:order val="2"/>
          <c:tx>
            <c:strRef>
              <c:f>functional!$D$6</c:f>
              <c:strCache>
                <c:ptCount val="1"/>
                <c:pt idx="0">
                  <c:v>2018թ. 1-ին կիսամյակ (փաստացի)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functional!$A$7:$A$18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functional!$D$7:$D$18</c:f>
              <c:numCache>
                <c:formatCode>#,##0.0;[Red]#,##0.0</c:formatCode>
                <c:ptCount val="12"/>
                <c:pt idx="0">
                  <c:v>610.29999999999995</c:v>
                </c:pt>
                <c:pt idx="1">
                  <c:v>131.9</c:v>
                </c:pt>
                <c:pt idx="2">
                  <c:v>82.6</c:v>
                </c:pt>
                <c:pt idx="3">
                  <c:v>53.8</c:v>
                </c:pt>
                <c:pt idx="4">
                  <c:v>40.700000000000003</c:v>
                </c:pt>
                <c:pt idx="5">
                  <c:v>1.9000000000000001</c:v>
                </c:pt>
                <c:pt idx="6">
                  <c:v>3.7</c:v>
                </c:pt>
                <c:pt idx="7">
                  <c:v>31.5</c:v>
                </c:pt>
                <c:pt idx="8">
                  <c:v>11.1</c:v>
                </c:pt>
                <c:pt idx="9">
                  <c:v>52.1</c:v>
                </c:pt>
                <c:pt idx="10">
                  <c:v>195.6</c:v>
                </c:pt>
                <c:pt idx="11">
                  <c:v>5.5</c:v>
                </c:pt>
              </c:numCache>
            </c:numRef>
          </c:val>
        </c:ser>
        <c:gapWidth val="75"/>
        <c:overlap val="-25"/>
        <c:axId val="100240384"/>
        <c:axId val="103060608"/>
      </c:barChart>
      <c:catAx>
        <c:axId val="100240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400" b="1">
                <a:latin typeface="GHEA Grapalat" pitchFamily="50" charset="0"/>
              </a:defRPr>
            </a:pPr>
            <a:endParaRPr lang="en-US"/>
          </a:p>
        </c:txPr>
        <c:crossAx val="103060608"/>
        <c:crosses val="autoZero"/>
        <c:auto val="1"/>
        <c:lblAlgn val="ctr"/>
        <c:lblOffset val="100"/>
      </c:catAx>
      <c:valAx>
        <c:axId val="10306060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10024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737478763232399E-3"/>
          <c:y val="0.88954448741244618"/>
          <c:w val="0.9845249046954625"/>
          <c:h val="0.11045551258755378"/>
        </c:manualLayout>
      </c:layout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 b="1" i="0" u="none" strike="noStrike" baseline="0">
                <a:latin typeface="GHEA Grapalat" pitchFamily="50" charset="0"/>
              </a:rPr>
              <a:t>ՀՀ  2015-2018 թթ. պետական բյուջեների առաջին կիսամյակի ծախսերը (հազար դրամ)</a:t>
            </a:r>
            <a:endParaRPr lang="en-US" sz="11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8026851581824115E-2"/>
          <c:y val="0.1303578154425612"/>
          <c:w val="0.90197314841817666"/>
          <c:h val="0.69313937452733654"/>
        </c:manualLayout>
      </c:layout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2015թ. 1-ին կիսամյակ (փաստացի)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Sheet1!$A$4:$A$15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Sheet1!$B$4:$B$15</c:f>
              <c:numCache>
                <c:formatCode>#,##0.0;[Red]#,##0.0</c:formatCode>
                <c:ptCount val="12"/>
                <c:pt idx="0">
                  <c:v>595070949.92999935</c:v>
                </c:pt>
                <c:pt idx="1">
                  <c:v>117507772.97</c:v>
                </c:pt>
                <c:pt idx="2">
                  <c:v>84272669.040000007</c:v>
                </c:pt>
                <c:pt idx="3">
                  <c:v>51774699.940000005</c:v>
                </c:pt>
                <c:pt idx="4">
                  <c:v>32946286.299999997</c:v>
                </c:pt>
                <c:pt idx="5">
                  <c:v>2389655.9299999997</c:v>
                </c:pt>
                <c:pt idx="6">
                  <c:v>13486482.83</c:v>
                </c:pt>
                <c:pt idx="7">
                  <c:v>34410439.910000004</c:v>
                </c:pt>
                <c:pt idx="8">
                  <c:v>12751821.470000004</c:v>
                </c:pt>
                <c:pt idx="9">
                  <c:v>51231717.240000002</c:v>
                </c:pt>
                <c:pt idx="10">
                  <c:v>185923431.19999996</c:v>
                </c:pt>
                <c:pt idx="11">
                  <c:v>8375973.1000000006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2016թ. 1-ին կիսամյակ (փաստացի)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Sheet1!$A$4:$A$15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Sheet1!$C$4:$C$15</c:f>
              <c:numCache>
                <c:formatCode>#,##0.0;[Red]#,##0.0</c:formatCode>
                <c:ptCount val="12"/>
                <c:pt idx="0">
                  <c:v>631817960.29000044</c:v>
                </c:pt>
                <c:pt idx="1">
                  <c:v>132888850.37999997</c:v>
                </c:pt>
                <c:pt idx="2">
                  <c:v>88279850.379999921</c:v>
                </c:pt>
                <c:pt idx="3">
                  <c:v>50890365.580000006</c:v>
                </c:pt>
                <c:pt idx="4">
                  <c:v>48768300.690000013</c:v>
                </c:pt>
                <c:pt idx="5">
                  <c:v>2194214.8299999987</c:v>
                </c:pt>
                <c:pt idx="6">
                  <c:v>9241188.2800000012</c:v>
                </c:pt>
                <c:pt idx="7">
                  <c:v>37162861.07</c:v>
                </c:pt>
                <c:pt idx="8">
                  <c:v>11991322.68999999</c:v>
                </c:pt>
                <c:pt idx="9">
                  <c:v>51882699.890000008</c:v>
                </c:pt>
                <c:pt idx="10">
                  <c:v>191587115.59000003</c:v>
                </c:pt>
                <c:pt idx="11">
                  <c:v>6931190.9100000001</c:v>
                </c:pt>
              </c:numCache>
            </c:numRef>
          </c:val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2017թ. 1-ին կիսամյակ (փաստացի)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Sheet1!$A$4:$A$15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Sheet1!$D$4:$D$15</c:f>
              <c:numCache>
                <c:formatCode>#,##0.0;[Red]#,##0.0</c:formatCode>
                <c:ptCount val="12"/>
                <c:pt idx="0">
                  <c:v>619990791.71000004</c:v>
                </c:pt>
                <c:pt idx="1">
                  <c:v>139075146.05000001</c:v>
                </c:pt>
                <c:pt idx="2">
                  <c:v>88528241.530000001</c:v>
                </c:pt>
                <c:pt idx="3">
                  <c:v>50549350.32</c:v>
                </c:pt>
                <c:pt idx="4">
                  <c:v>35823591.43</c:v>
                </c:pt>
                <c:pt idx="5">
                  <c:v>1883704.21</c:v>
                </c:pt>
                <c:pt idx="6">
                  <c:v>3972397.66</c:v>
                </c:pt>
                <c:pt idx="7">
                  <c:v>33495002.210000001</c:v>
                </c:pt>
                <c:pt idx="8">
                  <c:v>10831494.99</c:v>
                </c:pt>
                <c:pt idx="9">
                  <c:v>51698899.480000004</c:v>
                </c:pt>
                <c:pt idx="10">
                  <c:v>197043672.41999999</c:v>
                </c:pt>
                <c:pt idx="11">
                  <c:v>7089291.4100000001</c:v>
                </c:pt>
              </c:numCache>
            </c:numRef>
          </c:val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2018թ. 1-ին կիսամյակ (փաստացի)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Sheet1!$A$4:$A$15</c:f>
              <c:strCache>
                <c:ptCount val="12"/>
                <c:pt idx="0">
                  <c:v>ԸՆԴԱՄԵՆԸ ԾԱԽՍԵՐ</c:v>
                </c:pt>
                <c:pt idx="1">
                  <c:v>ԸՆԴՀԱՆՈՒՐ ԲՆՈՒՅԹԻ ՀԱՆՐԱՅԻՆ ԾԱՌԱՅՈՒԹՅՈՒՆՆԵՐ</c:v>
                </c:pt>
                <c:pt idx="2">
                  <c:v>ՊԱՇՏՊԱՆՈՒԹՅՈՒՆ</c:v>
                </c:pt>
                <c:pt idx="3">
                  <c:v>ՀԱՍԱՐԱԿԱԿԱՆ ԿԱՐԳ, ԱՆՎՏԱՆԳՈՒԹՅՈՒՆ  ԵՎ ԴԱՏԱԿԱՆ ԳՈՐԾՈՒՆԵՈՒԹՅՈՒՆ</c:v>
                </c:pt>
                <c:pt idx="4">
                  <c:v>ՏՆՏԵՍԱԿԱՆ ՀԱՐԱԲԵՐՈՒԹՅՈՒՆՆԵՐ</c:v>
                </c:pt>
                <c:pt idx="5">
                  <c:v>ՇՐՋԱԿԱ  ՄԻՋԱՎԱՅՐԻ ՊԱՇՏՊԱՆՈՒԹՅՈՒՆ</c:v>
                </c:pt>
                <c:pt idx="6">
                  <c:v> ԲՆԱԿԱՐԱՆԱՅԻՆ ՇԻՆԱՐԱՐՈՒԹՅՈՒՆ ԵՎ ԿՈՄՈՒՆԱԼ ԾԱՌԱՅՈՒԹՅՈՒՆՆԵՐ</c:v>
                </c:pt>
                <c:pt idx="7">
                  <c:v>ԱՌՈՂՋԱՊԱՀՈՒԹՅՈՒՆ</c:v>
                </c:pt>
                <c:pt idx="8">
                  <c:v>ՀԱՆԳԻՍՏ, ՄՇԱԿՈՒՅԹ ԵՎ ԿՐՈՆ</c:v>
                </c:pt>
                <c:pt idx="9">
                  <c:v>ԿՐԹՈՒԹՅՈՒՆ</c:v>
                </c:pt>
                <c:pt idx="10">
                  <c:v> ՍՈՑԻԱԼԱԿԱՆ ՊԱՇՏՊԱՆՈՒԹՅՈՒՆ</c:v>
                </c:pt>
                <c:pt idx="11">
                  <c:v> ՀԻՄՆԱԿԱՆ ԲԱԺԻՆՆԵՐԻՆ ՉԴԱՍՎՈՂ ՊԱՀՈՒՍՏԱՅԻՆ ՖՈՆԴԵՐ</c:v>
                </c:pt>
              </c:strCache>
            </c:strRef>
          </c:cat>
          <c:val>
            <c:numRef>
              <c:f>Sheet1!$E$4:$E$15</c:f>
              <c:numCache>
                <c:formatCode>#,##0.0;[Red]#,##0.0</c:formatCode>
                <c:ptCount val="12"/>
                <c:pt idx="0">
                  <c:v>610349661.29999995</c:v>
                </c:pt>
                <c:pt idx="1">
                  <c:v>131889624.90000002</c:v>
                </c:pt>
                <c:pt idx="2">
                  <c:v>82628439.5</c:v>
                </c:pt>
                <c:pt idx="3">
                  <c:v>53762951.300000004</c:v>
                </c:pt>
                <c:pt idx="4">
                  <c:v>40705982.5</c:v>
                </c:pt>
                <c:pt idx="5">
                  <c:v>1870914.5</c:v>
                </c:pt>
                <c:pt idx="6">
                  <c:v>3680486.8</c:v>
                </c:pt>
                <c:pt idx="7">
                  <c:v>31488939.399999999</c:v>
                </c:pt>
                <c:pt idx="8">
                  <c:v>11057862.9</c:v>
                </c:pt>
                <c:pt idx="9">
                  <c:v>52117245.200000003</c:v>
                </c:pt>
                <c:pt idx="10">
                  <c:v>195593770</c:v>
                </c:pt>
                <c:pt idx="11">
                  <c:v>5553444.2000000002</c:v>
                </c:pt>
              </c:numCache>
            </c:numRef>
          </c:val>
        </c:ser>
        <c:gapWidth val="75"/>
        <c:overlap val="-25"/>
        <c:axId val="103015552"/>
        <c:axId val="103017088"/>
      </c:barChart>
      <c:catAx>
        <c:axId val="103015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400">
                <a:latin typeface="GHEA Grapalat" pitchFamily="50" charset="0"/>
              </a:defRPr>
            </a:pPr>
            <a:endParaRPr lang="en-US"/>
          </a:p>
        </c:txPr>
        <c:crossAx val="103017088"/>
        <c:crosses val="autoZero"/>
        <c:auto val="1"/>
        <c:lblAlgn val="ctr"/>
        <c:lblOffset val="100"/>
      </c:catAx>
      <c:valAx>
        <c:axId val="10301708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03015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198816241087283E-2"/>
          <c:y val="0.92549520293014265"/>
          <c:w val="0.97310896338626551"/>
          <c:h val="7.4440737280721356E-2"/>
        </c:manualLayout>
      </c:layout>
      <c:txPr>
        <a:bodyPr/>
        <a:lstStyle/>
        <a:p>
          <a:pPr>
            <a:defRPr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F005-14E0-44E4-8062-68CBC028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FinComm Expert2</cp:lastModifiedBy>
  <cp:revision>20</cp:revision>
  <cp:lastPrinted>2018-08-24T08:26:00Z</cp:lastPrinted>
  <dcterms:created xsi:type="dcterms:W3CDTF">2018-08-24T07:30:00Z</dcterms:created>
  <dcterms:modified xsi:type="dcterms:W3CDTF">2018-08-24T11:43:00Z</dcterms:modified>
</cp:coreProperties>
</file>