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AB" w:rsidRDefault="00D81FAB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</w:p>
    <w:p w:rsidR="00173A69" w:rsidRPr="00714166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Պատրաստված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է </w:t>
      </w:r>
      <w:r w:rsidR="00EE330C" w:rsidRPr="00714166">
        <w:rPr>
          <w:rFonts w:ascii="GHEA Grapalat" w:hAnsi="GHEA Grapalat"/>
          <w:b/>
          <w:i/>
          <w:sz w:val="16"/>
          <w:szCs w:val="16"/>
        </w:rPr>
        <w:t xml:space="preserve">ՀՀ </w:t>
      </w:r>
      <w:r w:rsidRPr="00714166">
        <w:rPr>
          <w:rFonts w:ascii="GHEA Grapalat" w:hAnsi="GHEA Grapalat"/>
          <w:b/>
          <w:i/>
          <w:sz w:val="16"/>
          <w:szCs w:val="16"/>
        </w:rPr>
        <w:t xml:space="preserve">ԱԺ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բյուջետային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գրասենյակի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կողմից</w:t>
      </w:r>
      <w:proofErr w:type="spellEnd"/>
    </w:p>
    <w:p w:rsidR="00173A69" w:rsidRPr="003314D4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3314D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976225" w:rsidRDefault="007B05AA" w:rsidP="007B05A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</w:rPr>
        <w:t>ՀՀ</w:t>
      </w:r>
      <w:r w:rsidR="00BB0E30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2017-2018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թթ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.</w:t>
      </w:r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պետական</w:t>
      </w:r>
      <w:proofErr w:type="spellEnd"/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բյուջեների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եկամուտների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վերաբերյալ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հունվար</w:t>
      </w:r>
      <w:r w:rsidR="001C314C" w:rsidRPr="003314D4">
        <w:rPr>
          <w:rFonts w:ascii="GHEA Grapalat" w:eastAsia="Times New Roman" w:hAnsi="GHEA Grapalat" w:cs="Arial"/>
          <w:b/>
          <w:sz w:val="24"/>
          <w:szCs w:val="24"/>
        </w:rPr>
        <w:t>-</w:t>
      </w:r>
      <w:r w:rsidR="000C6045">
        <w:rPr>
          <w:rFonts w:ascii="GHEA Grapalat" w:eastAsia="Times New Roman" w:hAnsi="GHEA Grapalat" w:cs="Arial"/>
          <w:b/>
          <w:sz w:val="24"/>
          <w:szCs w:val="24"/>
        </w:rPr>
        <w:t>հուլ</w:t>
      </w:r>
      <w:r w:rsidR="00CF5EDF" w:rsidRPr="003314D4">
        <w:rPr>
          <w:rFonts w:ascii="GHEA Grapalat" w:eastAsia="Times New Roman" w:hAnsi="GHEA Grapalat" w:cs="Arial"/>
          <w:b/>
          <w:sz w:val="24"/>
          <w:szCs w:val="24"/>
        </w:rPr>
        <w:t>իս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)`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D72992" w:rsidRPr="003314D4">
        <w:rPr>
          <w:rFonts w:ascii="GHEA Grapalat" w:eastAsia="Times New Roman" w:hAnsi="GHEA Grapalat" w:cs="Arial"/>
          <w:b/>
          <w:sz w:val="24"/>
          <w:szCs w:val="24"/>
        </w:rPr>
        <w:t>գ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ծապատկերներով</w:t>
      </w:r>
      <w:proofErr w:type="spellEnd"/>
      <w:r w:rsidR="005B32B8" w:rsidRPr="008D6554">
        <w:rPr>
          <w:rFonts w:ascii="GHEA Grapalat" w:eastAsia="Times New Roman" w:hAnsi="GHEA Grapalat" w:cs="Arial"/>
          <w:b/>
          <w:sz w:val="20"/>
          <w:szCs w:val="20"/>
        </w:rPr>
        <w:t xml:space="preserve">  </w:t>
      </w:r>
      <w:r w:rsidR="00A261CA" w:rsidRPr="008D655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</w:p>
    <w:p w:rsidR="00976225" w:rsidRPr="00976225" w:rsidRDefault="00976225" w:rsidP="00976225">
      <w:pPr>
        <w:spacing w:after="0" w:line="240" w:lineRule="auto"/>
        <w:rPr>
          <w:rFonts w:ascii="GHEA Grapalat" w:hAnsi="GHEA Grapalat" w:cs="Sylfaen"/>
          <w:i/>
          <w:sz w:val="6"/>
          <w:szCs w:val="6"/>
        </w:rPr>
      </w:pPr>
      <w:r w:rsidRPr="00AA1227">
        <w:rPr>
          <w:rFonts w:ascii="GHEA Grapalat" w:hAnsi="GHEA Grapalat" w:cs="Sylfaen"/>
          <w:sz w:val="20"/>
          <w:szCs w:val="20"/>
        </w:rPr>
        <w:t xml:space="preserve">      </w:t>
      </w:r>
      <w:r w:rsidRPr="00AA1227">
        <w:rPr>
          <w:rFonts w:ascii="GHEA Grapalat" w:hAnsi="GHEA Grapalat" w:cs="Sylfaen"/>
          <w:i/>
          <w:sz w:val="17"/>
          <w:szCs w:val="17"/>
        </w:rPr>
        <w:t xml:space="preserve"> </w:t>
      </w:r>
    </w:p>
    <w:p w:rsidR="00976225" w:rsidRPr="00976225" w:rsidRDefault="00976225" w:rsidP="00976225">
      <w:pPr>
        <w:spacing w:after="0" w:line="240" w:lineRule="auto"/>
        <w:jc w:val="center"/>
        <w:rPr>
          <w:rFonts w:ascii="GHEA Grapalat" w:hAnsi="GHEA Grapalat"/>
          <w:i/>
          <w:sz w:val="17"/>
          <w:szCs w:val="17"/>
        </w:rPr>
      </w:pPr>
      <w:r>
        <w:rPr>
          <w:rFonts w:ascii="GHEA Grapalat" w:hAnsi="GHEA Grapalat" w:cs="Sylfaen"/>
          <w:i/>
          <w:sz w:val="17"/>
          <w:szCs w:val="17"/>
        </w:rPr>
        <w:t>(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Տեղեկատվության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աղբյուրներ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են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հանդիսացել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ֆինանսների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նախարարության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ինտերնետային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կայքում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հրապարակված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2017-2018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թթ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կատարման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հուլիս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ամսվա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ամփոփ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բնութագրերը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և</w:t>
      </w:r>
      <w:r w:rsidRPr="00976225">
        <w:rPr>
          <w:rFonts w:ascii="GHEA Grapalat" w:hAnsi="GHEA Grapalat"/>
          <w:i/>
          <w:sz w:val="17"/>
          <w:szCs w:val="17"/>
        </w:rPr>
        <w:t xml:space="preserve"> «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կատարումն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ապահովող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միջոցառումների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մասին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»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կառավարության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28.12.2017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թիվ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1717-</w:t>
      </w:r>
      <w:r w:rsidRPr="00976225">
        <w:rPr>
          <w:rFonts w:ascii="GHEA Grapalat" w:hAnsi="GHEA Grapalat" w:cs="Sylfaen"/>
          <w:i/>
          <w:sz w:val="17"/>
          <w:szCs w:val="17"/>
        </w:rPr>
        <w:t>Ն</w:t>
      </w:r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որոշումը</w:t>
      </w:r>
      <w:proofErr w:type="spellEnd"/>
      <w:r>
        <w:rPr>
          <w:rFonts w:ascii="GHEA Grapalat" w:hAnsi="GHEA Grapalat" w:cs="Sylfaen"/>
          <w:i/>
          <w:sz w:val="17"/>
          <w:szCs w:val="17"/>
        </w:rPr>
        <w:t>)</w:t>
      </w:r>
    </w:p>
    <w:p w:rsidR="00B71918" w:rsidRPr="003314D4" w:rsidRDefault="00A261CA" w:rsidP="003314D4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FF0000"/>
          <w:sz w:val="8"/>
          <w:szCs w:val="8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B32B8"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A24C4C" w:rsidRDefault="00E23B6F">
      <w:pPr>
        <w:rPr>
          <w:rFonts w:ascii="GHEA Grapalat" w:hAnsi="GHEA Grapalat" w:cs="Sylfaen"/>
        </w:rPr>
      </w:pPr>
      <w:r w:rsidRPr="00E23B6F">
        <w:rPr>
          <w:rFonts w:ascii="GHEA Grapalat" w:hAnsi="GHEA Grapalat" w:cs="Sylfaen"/>
          <w:noProof/>
        </w:rPr>
        <w:drawing>
          <wp:inline distT="0" distB="0" distL="0" distR="0">
            <wp:extent cx="4519083" cy="2277745"/>
            <wp:effectExtent l="19050" t="0" r="14817" b="825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036AA">
        <w:rPr>
          <w:rFonts w:ascii="GHEA Grapalat" w:hAnsi="GHEA Grapalat" w:cs="Sylfaen"/>
        </w:rPr>
        <w:t xml:space="preserve">  </w:t>
      </w:r>
      <w:r w:rsidR="00594BFE">
        <w:rPr>
          <w:rFonts w:ascii="GHEA Grapalat" w:hAnsi="GHEA Grapalat" w:cs="Sylfaen"/>
        </w:rPr>
        <w:t xml:space="preserve"> </w:t>
      </w:r>
      <w:r w:rsidR="00E036AA">
        <w:rPr>
          <w:rFonts w:ascii="GHEA Grapalat" w:hAnsi="GHEA Grapalat" w:cs="Sylfaen"/>
        </w:rPr>
        <w:t xml:space="preserve"> </w:t>
      </w:r>
      <w:r w:rsidR="00D91842" w:rsidRPr="00D91842">
        <w:rPr>
          <w:rFonts w:ascii="GHEA Grapalat" w:hAnsi="GHEA Grapalat" w:cs="Sylfaen"/>
          <w:noProof/>
        </w:rPr>
        <w:drawing>
          <wp:inline distT="0" distB="0" distL="0" distR="0">
            <wp:extent cx="4345728" cy="2277533"/>
            <wp:effectExtent l="19050" t="0" r="16722" b="846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7B1" w:rsidRDefault="009D74E4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9D74E4">
        <w:rPr>
          <w:rFonts w:ascii="GHEA Grapalat" w:hAnsi="GHEA Grapalat" w:cs="Sylfaen"/>
          <w:sz w:val="16"/>
          <w:szCs w:val="16"/>
        </w:rPr>
        <w:drawing>
          <wp:inline distT="0" distB="0" distL="0" distR="0">
            <wp:extent cx="4523952" cy="2553758"/>
            <wp:effectExtent l="19050" t="0" r="994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="008E20D2">
        <w:rPr>
          <w:rFonts w:ascii="GHEA Grapalat" w:hAnsi="GHEA Grapalat" w:cs="Sylfaen"/>
          <w:sz w:val="16"/>
          <w:szCs w:val="16"/>
        </w:rPr>
        <w:t xml:space="preserve"> </w:t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="00606987" w:rsidRPr="00606987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367106" cy="2556933"/>
            <wp:effectExtent l="19050" t="0" r="14394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7B1" w:rsidRPr="00440A22" w:rsidRDefault="004477B1" w:rsidP="00B71918">
      <w:pPr>
        <w:spacing w:after="0" w:line="240" w:lineRule="auto"/>
        <w:rPr>
          <w:rFonts w:ascii="GHEA Grapalat" w:hAnsi="GHEA Grapalat" w:cs="Sylfaen"/>
          <w:sz w:val="6"/>
          <w:szCs w:val="6"/>
        </w:rPr>
      </w:pPr>
    </w:p>
    <w:p w:rsidR="00EF473D" w:rsidRPr="00D81FAB" w:rsidRDefault="00401BE2" w:rsidP="00AA1227">
      <w:pPr>
        <w:spacing w:after="0" w:line="240" w:lineRule="auto"/>
        <w:rPr>
          <w:rFonts w:ascii="GHEA Grapalat" w:hAnsi="GHEA Grapalat" w:cs="Sylfaen"/>
          <w:b/>
          <w:sz w:val="18"/>
          <w:szCs w:val="18"/>
        </w:rPr>
      </w:pPr>
      <w:r w:rsidRPr="00AA1227">
        <w:rPr>
          <w:rFonts w:ascii="GHEA Grapalat" w:hAnsi="GHEA Grapalat" w:cs="Sylfaen"/>
          <w:sz w:val="20"/>
          <w:szCs w:val="20"/>
        </w:rPr>
        <w:t xml:space="preserve">     </w:t>
      </w:r>
      <w:r w:rsidRPr="00D81FAB">
        <w:rPr>
          <w:rFonts w:ascii="GHEA Grapalat" w:hAnsi="GHEA Grapalat" w:cs="Sylfaen"/>
          <w:sz w:val="18"/>
          <w:szCs w:val="18"/>
        </w:rPr>
        <w:t>*</w:t>
      </w:r>
      <w:r w:rsidR="00AA1227" w:rsidRPr="00D81FAB">
        <w:rPr>
          <w:rFonts w:ascii="GHEA Grapalat" w:hAnsi="GHEA Grapalat" w:cs="Sylfaen"/>
          <w:sz w:val="18"/>
          <w:szCs w:val="18"/>
        </w:rPr>
        <w:t xml:space="preserve"> </w:t>
      </w:r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2018 թ.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հունվարի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1-ից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ուժի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մեջ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է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մտել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ՀՀ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հարկային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օրենսգիրքը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,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ինչը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հնարավորություն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չի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ընձեռում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 2018 թ.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ամսեկան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եկամուտների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ցուցանիշները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համադրել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նախորդ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տարիների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ցուցանիշների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հետ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>:)</w:t>
      </w:r>
    </w:p>
    <w:p w:rsidR="00401BE2" w:rsidRPr="00D81FAB" w:rsidRDefault="00AA1227" w:rsidP="00AA1227">
      <w:pPr>
        <w:spacing w:after="0" w:line="240" w:lineRule="auto"/>
        <w:rPr>
          <w:rFonts w:ascii="GHEA Grapalat" w:hAnsi="GHEA Grapalat" w:cs="Sylfaen"/>
          <w:sz w:val="18"/>
          <w:szCs w:val="18"/>
        </w:rPr>
      </w:pPr>
      <w:r w:rsidRPr="00D81FAB">
        <w:rPr>
          <w:rFonts w:ascii="GHEA Grapalat" w:hAnsi="GHEA Grapalat" w:cs="Sylfaen"/>
          <w:sz w:val="18"/>
          <w:szCs w:val="18"/>
        </w:rPr>
        <w:t xml:space="preserve">       </w:t>
      </w:r>
      <w:r w:rsidR="00EF473D" w:rsidRPr="00D81FAB">
        <w:rPr>
          <w:rFonts w:ascii="GHEA Grapalat" w:hAnsi="GHEA Grapalat" w:cs="Sylfaen"/>
          <w:sz w:val="18"/>
          <w:szCs w:val="18"/>
        </w:rPr>
        <w:t xml:space="preserve">2018թ.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հունվար-հուլիս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ամիսներին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հարկ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վճարողների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հարկային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պարտավորությունների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մարման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նպատակով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գանձապետարանի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կողմից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վարվող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միասնական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հաշվի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զուտ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մուտքերի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առանձին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հարկատեսակների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գծով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պարտավորությունները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հաշվառող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պետական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բյուջեի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գանձապետական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հաշիվների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մուտքերի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հանրագումարը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կազմել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է </w:t>
      </w:r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709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մլրդ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դրամ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:  </w:t>
      </w:r>
    </w:p>
    <w:p w:rsidR="00EF473D" w:rsidRPr="00D81FAB" w:rsidRDefault="00AA1227" w:rsidP="00AA1227">
      <w:pPr>
        <w:spacing w:after="0" w:line="240" w:lineRule="auto"/>
        <w:rPr>
          <w:rFonts w:ascii="GHEA Grapalat" w:hAnsi="GHEA Grapalat" w:cs="Sylfaen"/>
          <w:sz w:val="18"/>
          <w:szCs w:val="18"/>
        </w:rPr>
      </w:pPr>
      <w:r w:rsidRPr="00D81FAB">
        <w:rPr>
          <w:rFonts w:ascii="GHEA Grapalat" w:hAnsi="GHEA Grapalat" w:cs="Sylfaen"/>
          <w:sz w:val="18"/>
          <w:szCs w:val="18"/>
        </w:rPr>
        <w:t xml:space="preserve">     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Հարկերի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միասնական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գանձապետական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հաշվի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զուտ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մուտքը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հունվար-հուլիս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ամիսներին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կազմել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է </w:t>
      </w:r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33.8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մլրդ</w:t>
      </w:r>
      <w:proofErr w:type="spellEnd"/>
      <w:r w:rsidR="00EF473D" w:rsidRPr="00D81FA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b/>
          <w:sz w:val="18"/>
          <w:szCs w:val="18"/>
        </w:rPr>
        <w:t>դրամ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որը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, ի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տարբերություն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նախորդ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տարիների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վերոնշյալ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փոփոխությամբ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պայմանավորված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չի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հաշվառվել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որպես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պետական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բյուջեի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EF473D" w:rsidRPr="00D81FAB">
        <w:rPr>
          <w:rFonts w:ascii="GHEA Grapalat" w:hAnsi="GHEA Grapalat" w:cs="Sylfaen"/>
          <w:sz w:val="18"/>
          <w:szCs w:val="18"/>
        </w:rPr>
        <w:t>եկամուտ</w:t>
      </w:r>
      <w:proofErr w:type="spellEnd"/>
      <w:r w:rsidR="00EF473D" w:rsidRPr="00D81FAB">
        <w:rPr>
          <w:rFonts w:ascii="GHEA Grapalat" w:hAnsi="GHEA Grapalat" w:cs="Sylfaen"/>
          <w:sz w:val="18"/>
          <w:szCs w:val="18"/>
        </w:rPr>
        <w:t xml:space="preserve">:         </w:t>
      </w:r>
    </w:p>
    <w:sectPr w:rsidR="00EF473D" w:rsidRPr="00D81FAB" w:rsidSect="00D81FAB">
      <w:pgSz w:w="15840" w:h="12240" w:orient="landscape"/>
      <w:pgMar w:top="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6C43"/>
    <w:multiLevelType w:val="hybridMultilevel"/>
    <w:tmpl w:val="81DC6A40"/>
    <w:lvl w:ilvl="0" w:tplc="29646DD2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19D"/>
    <w:multiLevelType w:val="hybridMultilevel"/>
    <w:tmpl w:val="6958EA4E"/>
    <w:lvl w:ilvl="0" w:tplc="C7C0A04E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1375F"/>
    <w:multiLevelType w:val="hybridMultilevel"/>
    <w:tmpl w:val="7A7C6D8E"/>
    <w:lvl w:ilvl="0" w:tplc="1F1AA460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73787"/>
    <w:rsid w:val="000872D6"/>
    <w:rsid w:val="000B64F2"/>
    <w:rsid w:val="000C6045"/>
    <w:rsid w:val="00113D8C"/>
    <w:rsid w:val="00116141"/>
    <w:rsid w:val="0011722B"/>
    <w:rsid w:val="0016256A"/>
    <w:rsid w:val="00163C38"/>
    <w:rsid w:val="00173A69"/>
    <w:rsid w:val="00180890"/>
    <w:rsid w:val="0019261D"/>
    <w:rsid w:val="0019674F"/>
    <w:rsid w:val="001A2909"/>
    <w:rsid w:val="001C1E51"/>
    <w:rsid w:val="001C314C"/>
    <w:rsid w:val="001C70EA"/>
    <w:rsid w:val="001E53D0"/>
    <w:rsid w:val="001F75CD"/>
    <w:rsid w:val="002272E5"/>
    <w:rsid w:val="00230D6A"/>
    <w:rsid w:val="00234DE6"/>
    <w:rsid w:val="00256212"/>
    <w:rsid w:val="00283215"/>
    <w:rsid w:val="00291EAC"/>
    <w:rsid w:val="002B3378"/>
    <w:rsid w:val="002C450F"/>
    <w:rsid w:val="003314D4"/>
    <w:rsid w:val="00377F2F"/>
    <w:rsid w:val="00381D7E"/>
    <w:rsid w:val="003903FB"/>
    <w:rsid w:val="003A07E4"/>
    <w:rsid w:val="003B3391"/>
    <w:rsid w:val="003C04F6"/>
    <w:rsid w:val="003C5FED"/>
    <w:rsid w:val="003C620F"/>
    <w:rsid w:val="003E3CEE"/>
    <w:rsid w:val="003F13BC"/>
    <w:rsid w:val="00401BE2"/>
    <w:rsid w:val="00440A22"/>
    <w:rsid w:val="00440E37"/>
    <w:rsid w:val="0044624B"/>
    <w:rsid w:val="004477B1"/>
    <w:rsid w:val="004514B4"/>
    <w:rsid w:val="00453866"/>
    <w:rsid w:val="00493531"/>
    <w:rsid w:val="004A0252"/>
    <w:rsid w:val="004C2632"/>
    <w:rsid w:val="004D1EF0"/>
    <w:rsid w:val="004E3B1B"/>
    <w:rsid w:val="00510552"/>
    <w:rsid w:val="00526BC2"/>
    <w:rsid w:val="005370AE"/>
    <w:rsid w:val="005768CB"/>
    <w:rsid w:val="00577BCF"/>
    <w:rsid w:val="0058408A"/>
    <w:rsid w:val="00594BFE"/>
    <w:rsid w:val="005A3724"/>
    <w:rsid w:val="005A6FB5"/>
    <w:rsid w:val="005A7921"/>
    <w:rsid w:val="005B32B8"/>
    <w:rsid w:val="005D27EF"/>
    <w:rsid w:val="005E0FD9"/>
    <w:rsid w:val="005F01F7"/>
    <w:rsid w:val="00605C18"/>
    <w:rsid w:val="00606987"/>
    <w:rsid w:val="00607EE8"/>
    <w:rsid w:val="00610B2A"/>
    <w:rsid w:val="00657CA8"/>
    <w:rsid w:val="00674204"/>
    <w:rsid w:val="00683FE4"/>
    <w:rsid w:val="00691724"/>
    <w:rsid w:val="00691BBD"/>
    <w:rsid w:val="006A139C"/>
    <w:rsid w:val="006A7C1F"/>
    <w:rsid w:val="006E136E"/>
    <w:rsid w:val="006E7C57"/>
    <w:rsid w:val="006F0FC7"/>
    <w:rsid w:val="00702225"/>
    <w:rsid w:val="007112B3"/>
    <w:rsid w:val="00714166"/>
    <w:rsid w:val="00725F45"/>
    <w:rsid w:val="007263E2"/>
    <w:rsid w:val="00743126"/>
    <w:rsid w:val="00751C9B"/>
    <w:rsid w:val="007833A4"/>
    <w:rsid w:val="00783AB0"/>
    <w:rsid w:val="00790D70"/>
    <w:rsid w:val="007A07FF"/>
    <w:rsid w:val="007A30C5"/>
    <w:rsid w:val="007B05AA"/>
    <w:rsid w:val="007E157D"/>
    <w:rsid w:val="007F2E64"/>
    <w:rsid w:val="008348A9"/>
    <w:rsid w:val="00845E5A"/>
    <w:rsid w:val="00857A72"/>
    <w:rsid w:val="00866A82"/>
    <w:rsid w:val="00873755"/>
    <w:rsid w:val="00883E3D"/>
    <w:rsid w:val="008D4C7E"/>
    <w:rsid w:val="008D6554"/>
    <w:rsid w:val="008E20D2"/>
    <w:rsid w:val="008E60C4"/>
    <w:rsid w:val="008F6ADD"/>
    <w:rsid w:val="00902412"/>
    <w:rsid w:val="009056F8"/>
    <w:rsid w:val="0090615B"/>
    <w:rsid w:val="00906274"/>
    <w:rsid w:val="0093464C"/>
    <w:rsid w:val="00934C96"/>
    <w:rsid w:val="0095789A"/>
    <w:rsid w:val="00961B45"/>
    <w:rsid w:val="00967281"/>
    <w:rsid w:val="00976225"/>
    <w:rsid w:val="00981A88"/>
    <w:rsid w:val="009879C6"/>
    <w:rsid w:val="009A5C6E"/>
    <w:rsid w:val="009B73B8"/>
    <w:rsid w:val="009D633F"/>
    <w:rsid w:val="009D74E4"/>
    <w:rsid w:val="009E53E4"/>
    <w:rsid w:val="00A24485"/>
    <w:rsid w:val="00A24C4C"/>
    <w:rsid w:val="00A261CA"/>
    <w:rsid w:val="00A31794"/>
    <w:rsid w:val="00A36C51"/>
    <w:rsid w:val="00A54DB0"/>
    <w:rsid w:val="00A57EEF"/>
    <w:rsid w:val="00A6161B"/>
    <w:rsid w:val="00A824BA"/>
    <w:rsid w:val="00A855AE"/>
    <w:rsid w:val="00AA1227"/>
    <w:rsid w:val="00AA2498"/>
    <w:rsid w:val="00AA5EF0"/>
    <w:rsid w:val="00AC1091"/>
    <w:rsid w:val="00AD3113"/>
    <w:rsid w:val="00AE615B"/>
    <w:rsid w:val="00B1251F"/>
    <w:rsid w:val="00B33D18"/>
    <w:rsid w:val="00B53F72"/>
    <w:rsid w:val="00B60913"/>
    <w:rsid w:val="00B71918"/>
    <w:rsid w:val="00B728BF"/>
    <w:rsid w:val="00B93572"/>
    <w:rsid w:val="00B9763B"/>
    <w:rsid w:val="00BA4DE7"/>
    <w:rsid w:val="00BB0E30"/>
    <w:rsid w:val="00C5174D"/>
    <w:rsid w:val="00C5622D"/>
    <w:rsid w:val="00C722FB"/>
    <w:rsid w:val="00C90DAB"/>
    <w:rsid w:val="00C9405D"/>
    <w:rsid w:val="00CA6F13"/>
    <w:rsid w:val="00CB7BF1"/>
    <w:rsid w:val="00CD48BD"/>
    <w:rsid w:val="00CE1250"/>
    <w:rsid w:val="00CE73D3"/>
    <w:rsid w:val="00CF5EDF"/>
    <w:rsid w:val="00CF72D9"/>
    <w:rsid w:val="00D03A5C"/>
    <w:rsid w:val="00D231D5"/>
    <w:rsid w:val="00D25867"/>
    <w:rsid w:val="00D25DF0"/>
    <w:rsid w:val="00D43B7C"/>
    <w:rsid w:val="00D451A8"/>
    <w:rsid w:val="00D55707"/>
    <w:rsid w:val="00D61722"/>
    <w:rsid w:val="00D72992"/>
    <w:rsid w:val="00D76530"/>
    <w:rsid w:val="00D81FAB"/>
    <w:rsid w:val="00D8573C"/>
    <w:rsid w:val="00D91842"/>
    <w:rsid w:val="00DA6B20"/>
    <w:rsid w:val="00DC6619"/>
    <w:rsid w:val="00E036AA"/>
    <w:rsid w:val="00E10649"/>
    <w:rsid w:val="00E17119"/>
    <w:rsid w:val="00E23B6F"/>
    <w:rsid w:val="00E54B68"/>
    <w:rsid w:val="00E80926"/>
    <w:rsid w:val="00E91C9A"/>
    <w:rsid w:val="00EB23A8"/>
    <w:rsid w:val="00ED0557"/>
    <w:rsid w:val="00EE330C"/>
    <w:rsid w:val="00EF473D"/>
    <w:rsid w:val="00F07CF6"/>
    <w:rsid w:val="00F22D92"/>
    <w:rsid w:val="00F3019B"/>
    <w:rsid w:val="00F302FF"/>
    <w:rsid w:val="00F36205"/>
    <w:rsid w:val="00F51F9A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ulis\hunvar-hulis%202018-%20Ekamutner%20-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ulis\hunvar-hulis%202018-%20Ekamutner%20-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ulis\hunvar-hulis%202018-%20Ekamutner%20-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Hulis\hunvar-hulis%202018-%20Ekamutner%20-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900" b="1" i="0" baseline="0">
                <a:latin typeface="GHEA Grapalat" pitchFamily="50" charset="0"/>
              </a:rPr>
              <a:t>ՀՀ 2018 թվականի  պետական բյուջեի  հունվար-հուլիս ամիսների եկամուտներ (մլրդ 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338783315112133"/>
          <c:y val="0"/>
        </c:manualLayout>
      </c:layout>
    </c:title>
    <c:plotArea>
      <c:layout>
        <c:manualLayout>
          <c:layoutTarget val="inner"/>
          <c:xMode val="edge"/>
          <c:yMode val="edge"/>
          <c:x val="0.12343200050102218"/>
          <c:y val="0.17576726104107407"/>
          <c:w val="0.86210668351922393"/>
          <c:h val="0.57015074119359443"/>
        </c:manualLayout>
      </c:layout>
      <c:barChart>
        <c:barDir val="col"/>
        <c:grouping val="clustered"/>
        <c:ser>
          <c:idx val="0"/>
          <c:order val="0"/>
          <c:tx>
            <c:strRef>
              <c:f>Sheet2!$B$1</c:f>
              <c:strCache>
                <c:ptCount val="1"/>
                <c:pt idx="0">
                  <c:v>2018թ. (ինն ամիսների (հաստատված))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spPr>
              <a:solidFill>
                <a:schemeClr val="tx1"/>
              </a:solidFill>
              <a:effectLst>
                <a:outerShdw blurRad="40000" dist="23000" dir="5400000" rotWithShape="0">
                  <a:srgbClr val="FFFF00">
                    <a:alpha val="35000"/>
                  </a:srgbClr>
                </a:outerShdw>
              </a:effectLst>
            </c:spPr>
          </c:dPt>
          <c:dLbls>
            <c:dLbl>
              <c:idx val="1"/>
              <c:layout>
                <c:manualLayout>
                  <c:x val="5.7845263919016907E-3"/>
                  <c:y val="2.7878449958182349E-2"/>
                </c:manualLayout>
              </c:layout>
              <c:showVal val="1"/>
            </c:dLbl>
            <c:txPr>
              <a:bodyPr/>
              <a:lstStyle/>
              <a:p>
                <a:pPr>
                  <a:defRPr sz="78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947.7</c:v>
                </c:pt>
                <c:pt idx="1">
                  <c:v>907.7</c:v>
                </c:pt>
                <c:pt idx="2">
                  <c:v>22.8</c:v>
                </c:pt>
                <c:pt idx="3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2018թ. (հունվար-հուլիս,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-1.67270699749094E-2"/>
                </c:manualLayout>
              </c:layout>
              <c:showVal val="1"/>
            </c:dLbl>
            <c:dLbl>
              <c:idx val="1"/>
              <c:layout>
                <c:manualLayout>
                  <c:x val="-2.8922631959508267E-3"/>
                  <c:y val="1.1151379983272943E-2"/>
                </c:manualLayout>
              </c:layout>
              <c:showVal val="1"/>
            </c:dLbl>
            <c:txPr>
              <a:bodyPr/>
              <a:lstStyle/>
              <a:p>
                <a:pPr>
                  <a:defRPr sz="78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714.7</c:v>
                </c:pt>
                <c:pt idx="1">
                  <c:v>675.2</c:v>
                </c:pt>
                <c:pt idx="2">
                  <c:v>5</c:v>
                </c:pt>
                <c:pt idx="3">
                  <c:v>34.5</c:v>
                </c:pt>
              </c:numCache>
            </c:numRef>
          </c:val>
        </c:ser>
        <c:gapWidth val="75"/>
        <c:overlap val="-25"/>
        <c:axId val="83265408"/>
        <c:axId val="91485312"/>
      </c:barChart>
      <c:catAx>
        <c:axId val="83265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1485312"/>
        <c:crosses val="autoZero"/>
        <c:auto val="1"/>
        <c:lblAlgn val="ctr"/>
        <c:lblOffset val="100"/>
      </c:catAx>
      <c:valAx>
        <c:axId val="91485312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3265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107679869734492E-2"/>
          <c:y val="0.91155956906002955"/>
          <c:w val="0.89999988613137349"/>
          <c:h val="8.8440430939968812E-2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30">
                <a:latin typeface="GHEA Grapalat" pitchFamily="50" charset="0"/>
              </a:defRPr>
            </a:pPr>
            <a:r>
              <a:rPr lang="en-US" sz="830" b="1" i="0" baseline="0">
                <a:latin typeface="GHEA Grapalat" pitchFamily="50" charset="0"/>
              </a:rPr>
              <a:t>ՀՀ 2017-2018թթ. պետական բյուջեների հունվար-հուլիս ամիսների</a:t>
            </a:r>
          </a:p>
          <a:p>
            <a:pPr>
              <a:defRPr sz="830">
                <a:latin typeface="GHEA Grapalat" pitchFamily="50" charset="0"/>
              </a:defRPr>
            </a:pPr>
            <a:r>
              <a:rPr lang="en-US" sz="830" b="1" i="0" baseline="0">
                <a:latin typeface="GHEA Grapalat" pitchFamily="50" charset="0"/>
              </a:rPr>
              <a:t> եկամուտներ (մլրդ դրամ)*</a:t>
            </a:r>
            <a:endParaRPr lang="en-US" sz="83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5782351501073211"/>
          <c:y val="0"/>
        </c:manualLayout>
      </c:layout>
    </c:title>
    <c:plotArea>
      <c:layout>
        <c:manualLayout>
          <c:layoutTarget val="inner"/>
          <c:xMode val="edge"/>
          <c:yMode val="edge"/>
          <c:x val="0.11966885389326334"/>
          <c:y val="0.16239493075917821"/>
          <c:w val="0.86423693784480871"/>
          <c:h val="0.58272724277665944"/>
        </c:manualLayout>
      </c:layout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(հունվար-հուլիս,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2.8922631959508267E-3"/>
                  <c:y val="1.11576011157601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1152417989113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680.2</c:v>
                </c:pt>
                <c:pt idx="1">
                  <c:v>642.29999999999995</c:v>
                </c:pt>
                <c:pt idx="2">
                  <c:v>4.5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(հունվար-հուլիս,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2.23152022315202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67281879120961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714.7</c:v>
                </c:pt>
                <c:pt idx="1">
                  <c:v>675.2</c:v>
                </c:pt>
                <c:pt idx="2">
                  <c:v>5</c:v>
                </c:pt>
                <c:pt idx="3">
                  <c:v>34.5</c:v>
                </c:pt>
              </c:numCache>
            </c:numRef>
          </c:val>
        </c:ser>
        <c:gapWidth val="75"/>
        <c:overlap val="-25"/>
        <c:axId val="56427264"/>
        <c:axId val="56428800"/>
      </c:barChart>
      <c:catAx>
        <c:axId val="56427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56428800"/>
        <c:crosses val="autoZero"/>
        <c:auto val="1"/>
        <c:lblAlgn val="ctr"/>
        <c:lblOffset val="100"/>
      </c:catAx>
      <c:valAx>
        <c:axId val="5642880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56427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43065685115E-2"/>
          <c:y val="0.91151846604948461"/>
          <c:w val="0.89999988613137283"/>
          <c:h val="8.8481533950515459E-2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2017-2018 թթ. պետական բյուջեների հունվար-հուլիս ամիսների եկամուտներ (մլրդ դրամ)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944444444444492"/>
          <c:y val="0"/>
        </c:manualLayout>
      </c:layout>
    </c:title>
    <c:plotArea>
      <c:layout>
        <c:manualLayout>
          <c:layoutTarget val="inner"/>
          <c:xMode val="edge"/>
          <c:yMode val="edge"/>
          <c:x val="0.10092125984251989"/>
          <c:y val="0.14305555555555555"/>
          <c:w val="0.88518985126859273"/>
          <c:h val="0.5601541012463257"/>
        </c:manualLayout>
      </c:layout>
      <c:bar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(հունվար-հուլիս,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1.3496114213448768E-17"/>
                  <c:y val="1.996007984031936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9.9800399201596824E-3"/>
                </c:manualLayout>
              </c:layout>
              <c:showVal val="1"/>
            </c:dLbl>
            <c:dLbl>
              <c:idx val="5"/>
              <c:layout>
                <c:manualLayout>
                  <c:x val="-1.0796891370759013E-16"/>
                  <c:y val="2.4950099800399198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219</c:v>
                </c:pt>
                <c:pt idx="1">
                  <c:v>38.700000000000003</c:v>
                </c:pt>
                <c:pt idx="2">
                  <c:v>73</c:v>
                </c:pt>
                <c:pt idx="3">
                  <c:v>191.6</c:v>
                </c:pt>
                <c:pt idx="4">
                  <c:v>39</c:v>
                </c:pt>
                <c:pt idx="5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(հունվար-հուլիս,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9446407538280335E-3"/>
                  <c:y val="1.9960079840319368E-2"/>
                </c:manualLayout>
              </c:layout>
              <c:showVal val="1"/>
            </c:dLbl>
            <c:dLbl>
              <c:idx val="5"/>
              <c:layout>
                <c:manualLayout>
                  <c:x val="-1.0796891370759013E-16"/>
                  <c:y val="2.4950099800399198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227.6</c:v>
                </c:pt>
                <c:pt idx="1">
                  <c:v>57.6</c:v>
                </c:pt>
                <c:pt idx="2">
                  <c:v>106.5</c:v>
                </c:pt>
                <c:pt idx="3">
                  <c:v>198.2</c:v>
                </c:pt>
                <c:pt idx="4">
                  <c:v>46.1</c:v>
                </c:pt>
                <c:pt idx="5">
                  <c:v>34.5</c:v>
                </c:pt>
              </c:numCache>
            </c:numRef>
          </c:val>
        </c:ser>
        <c:gapWidth val="75"/>
        <c:overlap val="-25"/>
        <c:axId val="56450432"/>
        <c:axId val="56456320"/>
      </c:barChart>
      <c:catAx>
        <c:axId val="56450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30" b="1">
                <a:latin typeface="GHEA Grapalat" pitchFamily="50" charset="0"/>
              </a:defRPr>
            </a:pPr>
            <a:endParaRPr lang="en-US"/>
          </a:p>
        </c:txPr>
        <c:crossAx val="56456320"/>
        <c:crosses val="autoZero"/>
        <c:auto val="1"/>
        <c:lblAlgn val="ctr"/>
        <c:lblOffset val="100"/>
      </c:catAx>
      <c:valAx>
        <c:axId val="5645632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56450432"/>
        <c:crosses val="autoZero"/>
        <c:crossBetween val="between"/>
      </c:valAx>
    </c:plotArea>
    <c:legend>
      <c:legendPos val="b"/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2017-2018 թթ. պետական բյուջեների հունվար-հուլիս ամիսների եկամուտներ (մլրդ դրամ)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3755562608281088"/>
          <c:y val="0"/>
        </c:manualLayout>
      </c:layout>
    </c:title>
    <c:plotArea>
      <c:layout>
        <c:manualLayout>
          <c:layoutTarget val="inner"/>
          <c:xMode val="edge"/>
          <c:yMode val="edge"/>
          <c:x val="8.4101706036745411E-2"/>
          <c:y val="0.14330097816407392"/>
          <c:w val="0.89923162729658934"/>
          <c:h val="0.61493202989675488"/>
        </c:manualLayout>
      </c:layout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(հունվար-հուլիս,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986754448882921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2.7778686011153916E-3"/>
                  <c:y val="2.8452044518943412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Sheet5!$B$2:$B$6</c:f>
              <c:numCache>
                <c:formatCode>#,##0.0;[Red]#,##0.0</c:formatCode>
                <c:ptCount val="5"/>
                <c:pt idx="0">
                  <c:v>2</c:v>
                </c:pt>
                <c:pt idx="1">
                  <c:v>10.4</c:v>
                </c:pt>
                <c:pt idx="2">
                  <c:v>8.5</c:v>
                </c:pt>
                <c:pt idx="3">
                  <c:v>17</c:v>
                </c:pt>
                <c:pt idx="4" formatCode="0.0_);\(0.0\)">
                  <c:v>15.5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(հունվար-հուլիս,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9081043601872488E-3"/>
                  <c:y val="1.4900664194173345E-2"/>
                </c:manualLayout>
              </c:layout>
              <c:showVal val="1"/>
            </c:dLbl>
            <c:dLbl>
              <c:idx val="1"/>
              <c:layout>
                <c:manualLayout>
                  <c:x val="-2.8057047267508722E-3"/>
                  <c:y val="4.9668861222073044E-3"/>
                </c:manualLayout>
              </c:layout>
              <c:showVal val="1"/>
            </c:dLbl>
            <c:dLbl>
              <c:idx val="2"/>
              <c:layout>
                <c:manualLayout>
                  <c:x val="-2.9081043601872757E-3"/>
                  <c:y val="2.348555867517844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2.7777777777776924E-3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18.5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Sheet5!$C$2:$C$6</c:f>
              <c:numCache>
                <c:formatCode>#,##0.0;[Red]#,##0.0</c:formatCode>
                <c:ptCount val="5"/>
                <c:pt idx="0">
                  <c:v>0</c:v>
                </c:pt>
                <c:pt idx="1">
                  <c:v>13.6</c:v>
                </c:pt>
                <c:pt idx="2">
                  <c:v>10.8</c:v>
                </c:pt>
                <c:pt idx="3">
                  <c:v>16.8</c:v>
                </c:pt>
                <c:pt idx="4" formatCode="0.0_);\(0.0\)">
                  <c:v>16.8</c:v>
                </c:pt>
              </c:numCache>
            </c:numRef>
          </c:val>
        </c:ser>
        <c:gapWidth val="75"/>
        <c:overlap val="-25"/>
        <c:axId val="56465664"/>
        <c:axId val="56475648"/>
      </c:barChart>
      <c:catAx>
        <c:axId val="56465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50" b="1">
                <a:latin typeface="GHEA Grapalat" pitchFamily="50" charset="0"/>
              </a:defRPr>
            </a:pPr>
            <a:endParaRPr lang="en-US"/>
          </a:p>
        </c:txPr>
        <c:crossAx val="56475648"/>
        <c:crosses val="autoZero"/>
        <c:auto val="1"/>
        <c:lblAlgn val="ctr"/>
        <c:lblOffset val="100"/>
      </c:catAx>
      <c:valAx>
        <c:axId val="5647564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56465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09182694443418E-2"/>
          <c:y val="0.90462558072503252"/>
          <c:w val="0.89999990840616184"/>
          <c:h val="7.5506867016069637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2018-09-04T12:55:00Z</cp:lastPrinted>
  <dcterms:created xsi:type="dcterms:W3CDTF">2018-09-04T12:56:00Z</dcterms:created>
  <dcterms:modified xsi:type="dcterms:W3CDTF">2018-09-04T12:58:00Z</dcterms:modified>
</cp:coreProperties>
</file>