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AF" w:rsidRPr="00DA0FA5" w:rsidRDefault="003C317E" w:rsidP="002E450E">
      <w:pPr>
        <w:jc w:val="center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>ԳԾԱՊԱՏԿԵՐՆԵՐ</w:t>
      </w:r>
    </w:p>
    <w:p w:rsidR="00DA0FA5" w:rsidRDefault="002E450E" w:rsidP="002E450E">
      <w:pPr>
        <w:ind w:left="-360" w:right="-90"/>
        <w:jc w:val="center"/>
        <w:rPr>
          <w:rFonts w:ascii="Sylfaen" w:hAnsi="Sylfaen"/>
          <w:noProof/>
        </w:rPr>
      </w:pPr>
      <w:r>
        <w:rPr>
          <w:rFonts w:ascii="Sylfaen" w:hAnsi="Sylfaen"/>
          <w:noProof/>
        </w:rPr>
        <w:t>ՀՀ 2014-</w:t>
      </w:r>
      <w:r w:rsidR="00DA0FA5">
        <w:rPr>
          <w:rFonts w:ascii="Sylfaen" w:hAnsi="Sylfaen"/>
          <w:noProof/>
        </w:rPr>
        <w:t>2016 Թ</w:t>
      </w:r>
      <w:r>
        <w:rPr>
          <w:rFonts w:ascii="Sylfaen" w:hAnsi="Sylfaen"/>
          <w:noProof/>
        </w:rPr>
        <w:t xml:space="preserve">Թ. </w:t>
      </w:r>
      <w:r w:rsidR="00FF4DC5">
        <w:rPr>
          <w:rFonts w:ascii="Sylfaen" w:hAnsi="Sylfaen"/>
          <w:noProof/>
        </w:rPr>
        <w:t xml:space="preserve">ԻՆՆ ԱՄԻՍՆԵՐԻ </w:t>
      </w:r>
      <w:r w:rsidR="00DA0FA5">
        <w:rPr>
          <w:rFonts w:ascii="Sylfaen" w:hAnsi="Sylfaen"/>
          <w:noProof/>
        </w:rPr>
        <w:t>ՊԵՏԱԿԱՆ ԲՅՈՒՋԵ</w:t>
      </w:r>
      <w:r>
        <w:rPr>
          <w:rFonts w:ascii="Sylfaen" w:hAnsi="Sylfaen"/>
          <w:noProof/>
        </w:rPr>
        <w:t>ՆԵՐ</w:t>
      </w:r>
      <w:r w:rsidR="00DA0FA5">
        <w:rPr>
          <w:rFonts w:ascii="Sylfaen" w:hAnsi="Sylfaen"/>
          <w:noProof/>
        </w:rPr>
        <w:t xml:space="preserve">Ի ԿԱՏԱՐՄԱՆ ԸՆԹԱՑՔԻ ՎԵՐԱԲԵՐՅԱԼ </w:t>
      </w:r>
      <w:r w:rsidR="00F344BD">
        <w:rPr>
          <w:rFonts w:ascii="Sylfaen" w:hAnsi="Sylfaen"/>
          <w:noProof/>
        </w:rPr>
        <w:t>(</w:t>
      </w:r>
      <w:r w:rsidR="00DA0FA5">
        <w:rPr>
          <w:rFonts w:ascii="Sylfaen" w:hAnsi="Sylfaen"/>
          <w:noProof/>
        </w:rPr>
        <w:t>եկամուտներ, ծախսեր, պակասուրդ/հավելուրդ</w:t>
      </w:r>
      <w:r w:rsidR="00F344BD">
        <w:rPr>
          <w:rFonts w:ascii="Sylfaen" w:hAnsi="Sylfaen"/>
          <w:noProof/>
        </w:rPr>
        <w:t>)</w:t>
      </w:r>
    </w:p>
    <w:p w:rsidR="00F15635" w:rsidRDefault="00D628B0" w:rsidP="00F15635">
      <w:pPr>
        <w:jc w:val="both"/>
        <w:rPr>
          <w:rFonts w:ascii="Sylfaen" w:hAnsi="Sylfaen"/>
          <w:noProof/>
        </w:rPr>
      </w:pPr>
      <w:r w:rsidRPr="00D628B0">
        <w:rPr>
          <w:rFonts w:ascii="Sylfaen" w:hAnsi="Sylfaen"/>
          <w:noProof/>
        </w:rPr>
        <w:drawing>
          <wp:inline distT="0" distB="0" distL="0" distR="0">
            <wp:extent cx="4572000" cy="2905125"/>
            <wp:effectExtent l="19050" t="0" r="19050" b="0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F4429" w:rsidRPr="007F4429">
        <w:rPr>
          <w:rFonts w:ascii="Sylfaen" w:hAnsi="Sylfaen"/>
          <w:noProof/>
        </w:rPr>
        <w:drawing>
          <wp:inline distT="0" distB="0" distL="0" distR="0">
            <wp:extent cx="4572000" cy="2905125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531A" w:rsidRDefault="00CB0E0D" w:rsidP="002C531A">
      <w:pPr>
        <w:jc w:val="both"/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  <w:r w:rsidRPr="00CB0E0D">
        <w:rPr>
          <w:rFonts w:ascii="GHEA Grapalat" w:eastAsia="Times New Roman" w:hAnsi="GHEA Grapalat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572000" cy="2743200"/>
            <wp:effectExtent l="19050" t="0" r="1905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B400C" w:rsidRPr="007B400C">
        <w:rPr>
          <w:rFonts w:ascii="GHEA Grapalat" w:eastAsia="Times New Roman" w:hAnsi="GHEA Grapalat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572000" cy="2743200"/>
            <wp:effectExtent l="19050" t="0" r="1905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5924" w:rsidRDefault="00465924" w:rsidP="002C531A">
      <w:pPr>
        <w:jc w:val="both"/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  <w:r w:rsidRPr="00465924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>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2014-2016 թթ. ինն ամիսների պետական բյուջեների կատարման   վերաբերյալ տեղեկատվությունները</w:t>
      </w:r>
    </w:p>
    <w:p w:rsidR="00042438" w:rsidRPr="00465924" w:rsidRDefault="00042438" w:rsidP="002C531A">
      <w:pPr>
        <w:jc w:val="both"/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</w:p>
    <w:p w:rsidR="00062CF1" w:rsidRDefault="00C97B70" w:rsidP="00465924">
      <w:pPr>
        <w:tabs>
          <w:tab w:val="left" w:pos="1050"/>
        </w:tabs>
      </w:pPr>
      <w:r w:rsidRPr="00C97B70">
        <w:rPr>
          <w:noProof/>
        </w:rPr>
        <w:drawing>
          <wp:inline distT="0" distB="0" distL="0" distR="0">
            <wp:extent cx="4572000" cy="2981325"/>
            <wp:effectExtent l="19050" t="0" r="19050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F7554" w:rsidRPr="00CF7554">
        <w:rPr>
          <w:noProof/>
        </w:rPr>
        <w:drawing>
          <wp:inline distT="0" distB="0" distL="0" distR="0">
            <wp:extent cx="4572000" cy="2981325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5635" w:rsidRDefault="00AA0A43">
      <w:r w:rsidRPr="00AA0A43">
        <w:rPr>
          <w:noProof/>
        </w:rPr>
        <w:drawing>
          <wp:inline distT="0" distB="0" distL="0" distR="0">
            <wp:extent cx="4572000" cy="2857500"/>
            <wp:effectExtent l="19050" t="0" r="19050" b="0"/>
            <wp:docPr id="1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32F78" w:rsidRPr="00E32F78">
        <w:rPr>
          <w:noProof/>
        </w:rPr>
        <w:drawing>
          <wp:inline distT="0" distB="0" distL="0" distR="0">
            <wp:extent cx="4572000" cy="2857500"/>
            <wp:effectExtent l="19050" t="0" r="19050" b="0"/>
            <wp:docPr id="2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5924" w:rsidRDefault="00465924" w:rsidP="00465924">
      <w:pPr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  <w:r w:rsidRPr="00465924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>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2014-2016 թթ. ինն ամիսների պետական բյուջեների կատարման   վերաբերյալ տեղեկատվությունները</w:t>
      </w:r>
    </w:p>
    <w:p w:rsidR="00F15635" w:rsidRDefault="00842C5E" w:rsidP="00842C5E">
      <w:r w:rsidRPr="00842C5E">
        <w:rPr>
          <w:rFonts w:ascii="GHEA Grapalat" w:eastAsia="Times New Roman" w:hAnsi="GHEA Grapalat" w:cs="Times New Roman"/>
          <w:b/>
          <w:bCs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572000" cy="3038475"/>
            <wp:effectExtent l="19050" t="0" r="19050" b="0"/>
            <wp:docPr id="2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112C2" w:rsidRPr="00B112C2">
        <w:rPr>
          <w:noProof/>
        </w:rPr>
        <w:drawing>
          <wp:inline distT="0" distB="0" distL="0" distR="0">
            <wp:extent cx="4572000" cy="3038475"/>
            <wp:effectExtent l="19050" t="0" r="19050" b="0"/>
            <wp:docPr id="2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15635" w:rsidRDefault="00530C1B">
      <w:r w:rsidRPr="00530C1B">
        <w:rPr>
          <w:noProof/>
        </w:rPr>
        <w:drawing>
          <wp:inline distT="0" distB="0" distL="0" distR="0">
            <wp:extent cx="4572000" cy="2952750"/>
            <wp:effectExtent l="19050" t="0" r="19050" b="0"/>
            <wp:docPr id="1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B11155" w:rsidRPr="00B11155">
        <w:rPr>
          <w:noProof/>
        </w:rPr>
        <w:drawing>
          <wp:inline distT="0" distB="0" distL="0" distR="0">
            <wp:extent cx="4572000" cy="2952750"/>
            <wp:effectExtent l="19050" t="0" r="1905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85BAA" w:rsidRDefault="00385BAA"/>
    <w:p w:rsidR="00465924" w:rsidRPr="00465924" w:rsidRDefault="00465924" w:rsidP="00465924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  <w:r w:rsidRPr="00465924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>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2014-2016 թթ. ինն ամիսների պետական բյուջեների կատարման   վերաբերյալ տեղեկատվությունները</w:t>
      </w:r>
    </w:p>
    <w:p w:rsidR="00F15635" w:rsidRDefault="00F15635"/>
    <w:p w:rsidR="00465924" w:rsidRDefault="00EA4DD1">
      <w:r w:rsidRPr="00EA4DD1">
        <w:rPr>
          <w:noProof/>
        </w:rPr>
        <w:lastRenderedPageBreak/>
        <w:drawing>
          <wp:inline distT="0" distB="0" distL="0" distR="0">
            <wp:extent cx="4572000" cy="2905125"/>
            <wp:effectExtent l="19050" t="0" r="1905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E37E9" w:rsidRPr="006E37E9">
        <w:rPr>
          <w:noProof/>
        </w:rPr>
        <w:drawing>
          <wp:inline distT="0" distB="0" distL="0" distR="0">
            <wp:extent cx="4572000" cy="2905125"/>
            <wp:effectExtent l="19050" t="0" r="19050" b="0"/>
            <wp:docPr id="15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7D45" w:rsidRDefault="00667D45">
      <w:r w:rsidRPr="00667D45">
        <w:rPr>
          <w:noProof/>
        </w:rPr>
        <w:drawing>
          <wp:inline distT="0" distB="0" distL="0" distR="0">
            <wp:extent cx="4572000" cy="3133725"/>
            <wp:effectExtent l="19050" t="0" r="19050" b="0"/>
            <wp:docPr id="14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8F3996" w:rsidRPr="008F3996">
        <w:rPr>
          <w:noProof/>
        </w:rPr>
        <w:t xml:space="preserve"> </w:t>
      </w:r>
      <w:r w:rsidR="008F3996" w:rsidRPr="008F3996">
        <w:rPr>
          <w:noProof/>
        </w:rPr>
        <w:drawing>
          <wp:inline distT="0" distB="0" distL="0" distR="0">
            <wp:extent cx="4572000" cy="3133725"/>
            <wp:effectExtent l="19050" t="0" r="19050" b="0"/>
            <wp:docPr id="1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219C" w:rsidRPr="00465924" w:rsidRDefault="00E7219C" w:rsidP="00E7219C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</w:pPr>
      <w:r w:rsidRPr="00465924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>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2014-2016 թթ. ինն ամիսների պետական բյուջեների կատարման   վերաբերյալ տեղեկատվությունները</w:t>
      </w:r>
    </w:p>
    <w:p w:rsidR="00E7219C" w:rsidRDefault="00E7219C" w:rsidP="00E7219C"/>
    <w:p w:rsidR="00E7219C" w:rsidRDefault="00E7219C"/>
    <w:sectPr w:rsidR="00E7219C" w:rsidSect="005C377E">
      <w:headerReference w:type="default" r:id="rId23"/>
      <w:pgSz w:w="15840" w:h="12240" w:orient="landscape"/>
      <w:pgMar w:top="450" w:right="450" w:bottom="540" w:left="63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83" w:rsidRDefault="000D6B83" w:rsidP="008E28D3">
      <w:pPr>
        <w:spacing w:after="0" w:line="240" w:lineRule="auto"/>
      </w:pPr>
      <w:r>
        <w:separator/>
      </w:r>
    </w:p>
  </w:endnote>
  <w:endnote w:type="continuationSeparator" w:id="1">
    <w:p w:rsidR="000D6B83" w:rsidRDefault="000D6B83" w:rsidP="008E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83" w:rsidRDefault="000D6B83" w:rsidP="008E28D3">
      <w:pPr>
        <w:spacing w:after="0" w:line="240" w:lineRule="auto"/>
      </w:pPr>
      <w:r>
        <w:separator/>
      </w:r>
    </w:p>
  </w:footnote>
  <w:footnote w:type="continuationSeparator" w:id="1">
    <w:p w:rsidR="000D6B83" w:rsidRDefault="000D6B83" w:rsidP="008E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7E" w:rsidRPr="005C377E" w:rsidRDefault="005C377E" w:rsidP="005C377E">
    <w:pPr>
      <w:pStyle w:val="Header"/>
      <w:jc w:val="right"/>
      <w:rPr>
        <w:rFonts w:ascii="GHEA Grapalat" w:hAnsi="GHEA Grapalat"/>
        <w:sz w:val="16"/>
        <w:szCs w:val="16"/>
      </w:rPr>
    </w:pPr>
    <w:r w:rsidRPr="005C377E">
      <w:rPr>
        <w:rFonts w:ascii="GHEA Grapalat" w:hAnsi="GHEA Grapalat"/>
        <w:sz w:val="16"/>
        <w:szCs w:val="16"/>
      </w:rPr>
      <w:t>ՊԱՏՐԱՍՏՎԱԾ Է ԲՅՈՒՋԵՏԱՅԻՆ ԳՐԱՍԵՆՅԱԿԻ ԿՈՂՄԻՑ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3D12"/>
    <w:rsid w:val="00042438"/>
    <w:rsid w:val="00062CF1"/>
    <w:rsid w:val="000D6B83"/>
    <w:rsid w:val="00113B41"/>
    <w:rsid w:val="0017596D"/>
    <w:rsid w:val="00180B8B"/>
    <w:rsid w:val="001E19F3"/>
    <w:rsid w:val="00253D58"/>
    <w:rsid w:val="002B02CD"/>
    <w:rsid w:val="002C531A"/>
    <w:rsid w:val="002E1B49"/>
    <w:rsid w:val="002E450E"/>
    <w:rsid w:val="003165A9"/>
    <w:rsid w:val="00354275"/>
    <w:rsid w:val="00366D1E"/>
    <w:rsid w:val="0037544E"/>
    <w:rsid w:val="00385BAA"/>
    <w:rsid w:val="003C317E"/>
    <w:rsid w:val="004554F1"/>
    <w:rsid w:val="00465924"/>
    <w:rsid w:val="004776DB"/>
    <w:rsid w:val="00492629"/>
    <w:rsid w:val="004A6625"/>
    <w:rsid w:val="00524087"/>
    <w:rsid w:val="00530C1B"/>
    <w:rsid w:val="00563D12"/>
    <w:rsid w:val="005C236A"/>
    <w:rsid w:val="005C377E"/>
    <w:rsid w:val="005C66D7"/>
    <w:rsid w:val="005F7370"/>
    <w:rsid w:val="00667D45"/>
    <w:rsid w:val="00690F6C"/>
    <w:rsid w:val="006E1807"/>
    <w:rsid w:val="006E37E9"/>
    <w:rsid w:val="00747FF4"/>
    <w:rsid w:val="007A382D"/>
    <w:rsid w:val="007B24C8"/>
    <w:rsid w:val="007B400C"/>
    <w:rsid w:val="007D1808"/>
    <w:rsid w:val="007F4429"/>
    <w:rsid w:val="00842C5E"/>
    <w:rsid w:val="008A50DF"/>
    <w:rsid w:val="008C7BBD"/>
    <w:rsid w:val="008D3BB0"/>
    <w:rsid w:val="008E28D3"/>
    <w:rsid w:val="008F3996"/>
    <w:rsid w:val="008F57B6"/>
    <w:rsid w:val="008F6850"/>
    <w:rsid w:val="00987171"/>
    <w:rsid w:val="009E780D"/>
    <w:rsid w:val="00AA0A43"/>
    <w:rsid w:val="00B11155"/>
    <w:rsid w:val="00B112C2"/>
    <w:rsid w:val="00B1337E"/>
    <w:rsid w:val="00BC5739"/>
    <w:rsid w:val="00C875D9"/>
    <w:rsid w:val="00C97B70"/>
    <w:rsid w:val="00CB0E0D"/>
    <w:rsid w:val="00CF7554"/>
    <w:rsid w:val="00D628B0"/>
    <w:rsid w:val="00DA0FA5"/>
    <w:rsid w:val="00DB4F0D"/>
    <w:rsid w:val="00DD51D6"/>
    <w:rsid w:val="00DD67A1"/>
    <w:rsid w:val="00DE043F"/>
    <w:rsid w:val="00E03FA6"/>
    <w:rsid w:val="00E32F78"/>
    <w:rsid w:val="00E5126E"/>
    <w:rsid w:val="00E51FAF"/>
    <w:rsid w:val="00E7219C"/>
    <w:rsid w:val="00EA4DD1"/>
    <w:rsid w:val="00EB28FC"/>
    <w:rsid w:val="00F10588"/>
    <w:rsid w:val="00F15635"/>
    <w:rsid w:val="00F22AC5"/>
    <w:rsid w:val="00F344BD"/>
    <w:rsid w:val="00F52C93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8D3"/>
  </w:style>
  <w:style w:type="paragraph" w:styleId="Footer">
    <w:name w:val="footer"/>
    <w:basedOn w:val="Normal"/>
    <w:link w:val="FooterChar"/>
    <w:uiPriority w:val="99"/>
    <w:semiHidden/>
    <w:unhideWhenUsed/>
    <w:rsid w:val="008E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-%20Copy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-%204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nn%20ami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nn%20amis%20-%20Copy%20(2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nn%20amis%20-%20Copy%20(2)%20-%20Cop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nn%20amis%20-%20Copy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Deficit2014-16-inn%20ami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-%20Copy%20(2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spendings%202014-2016-inn%20am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Deficit2014-16-inn%20ami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-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Comm%20Expert2\Desktop\2016%20PB%209%20amis\teghekanqner\grafikner\grafikneri%20himqer\Ekamutner%202014-16%20inn%20amis%20-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ԲՅՈՒՋԵԻ ԵԿԱՄՈՒՏՆԵՐ      (ընդամենը` մլրդ դրամ)</a:t>
            </a:r>
            <a:endParaRPr lang="hy-AM" sz="1200"/>
          </a:p>
        </c:rich>
      </c:tx>
      <c:layout>
        <c:manualLayout>
          <c:xMode val="edge"/>
          <c:yMode val="edge"/>
          <c:x val="0.20500699912510958"/>
          <c:y val="1.3888888888888923E-2"/>
        </c:manualLayout>
      </c:layout>
    </c:title>
    <c:plotArea>
      <c:layout>
        <c:manualLayout>
          <c:layoutTarget val="inner"/>
          <c:xMode val="edge"/>
          <c:yMode val="edge"/>
          <c:x val="0.14186062620438092"/>
          <c:y val="0.18750063578503373"/>
          <c:w val="0.82325674879263633"/>
          <c:h val="0.64236328926354069"/>
        </c:manualLayout>
      </c:layout>
      <c:barChart>
        <c:barDir val="col"/>
        <c:grouping val="clustered"/>
        <c:ser>
          <c:idx val="0"/>
          <c:order val="0"/>
          <c:tx>
            <c:strRef>
              <c:f>Sheet1!$A$6</c:f>
              <c:strCache>
                <c:ptCount val="1"/>
                <c:pt idx="0">
                  <c:v>ԸՆԴԱՄԵՆԸ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18579234972677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2016թ. ինն ամիս (հաստատված)</c:v>
                </c:pt>
                <c:pt idx="1">
                  <c:v>2016թ. (ճշտված)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852.72</c:v>
                </c:pt>
                <c:pt idx="1">
                  <c:v>908.76</c:v>
                </c:pt>
                <c:pt idx="2">
                  <c:v>845.97</c:v>
                </c:pt>
              </c:numCache>
            </c:numRef>
          </c:val>
        </c:ser>
        <c:axId val="85308160"/>
        <c:axId val="85309696"/>
      </c:barChart>
      <c:catAx>
        <c:axId val="853081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5309696"/>
        <c:crosses val="autoZero"/>
        <c:auto val="1"/>
        <c:lblAlgn val="ctr"/>
        <c:lblOffset val="100"/>
      </c:catAx>
      <c:valAx>
        <c:axId val="85309696"/>
        <c:scaling>
          <c:orientation val="minMax"/>
          <c:min val="0"/>
        </c:scaling>
        <c:axPos val="l"/>
        <c:majorGridlines/>
        <c:numFmt formatCode="0.00_);\(0.00\)" sourceLinked="1"/>
        <c:tickLblPos val="nextTo"/>
        <c:crossAx val="8530816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ՀԱՐԿԱՅԻՆ</a:t>
            </a:r>
            <a:r>
              <a:rPr lang="en-US" sz="1100" baseline="0"/>
              <a:t> ԵԿԱՄՈՒՏՆԵՐ ԵՎ ՊԵՏԱԿԱՆ  ՏՈՒՐՔԵՐ /մլրդ  դրամ/</a:t>
            </a:r>
            <a:endParaRPr lang="en-US" sz="1100"/>
          </a:p>
        </c:rich>
      </c:tx>
    </c:title>
    <c:plotArea>
      <c:layout>
        <c:manualLayout>
          <c:layoutTarget val="inner"/>
          <c:xMode val="edge"/>
          <c:yMode val="edge"/>
          <c:x val="0.12594663167104142"/>
          <c:y val="0.18552092446777491"/>
          <c:w val="0.84349781277340496"/>
          <c:h val="0.5276837270341207"/>
        </c:manualLayout>
      </c:layout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Նպատակային սոցիալական վճարներ</c:v>
                </c:pt>
              </c:strCache>
            </c:strRef>
          </c:tx>
          <c:dLbls>
            <c:dLbl>
              <c:idx val="0"/>
              <c:layout>
                <c:manualLayout>
                  <c:x val="-8.8888888888889128E-2"/>
                  <c:y val="-3.7037037037037202E-2"/>
                </c:manualLayout>
              </c:layout>
              <c:showVal val="1"/>
            </c:dLbl>
            <c:dLbl>
              <c:idx val="1"/>
              <c:layout>
                <c:manualLayout>
                  <c:x val="-1.6666666666666701E-2"/>
                  <c:y val="4.6296296296296412E-2"/>
                </c:manualLayout>
              </c:layout>
              <c:showVal val="1"/>
            </c:dLbl>
            <c:dLbl>
              <c:idx val="2"/>
              <c:layout>
                <c:manualLayout>
                  <c:x val="-1.0185067526416074E-16"/>
                  <c:y val="2.777777777777789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1.1000000000000001</c:v>
                </c:pt>
                <c:pt idx="1">
                  <c:v>7.6</c:v>
                </c:pt>
                <c:pt idx="2">
                  <c:v>9.4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Այլ հարկային եկամուտներ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1.6666666666666701E-2"/>
                  <c:y val="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3.6111111111111212E-2"/>
                  <c:y val="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0.00_);\(0.00\)</c:formatCode>
                <c:ptCount val="3"/>
                <c:pt idx="0">
                  <c:v>16</c:v>
                </c:pt>
                <c:pt idx="1">
                  <c:v>21.3</c:v>
                </c:pt>
                <c:pt idx="2">
                  <c:v>22.3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Պետական տուրքեր</c:v>
                </c:pt>
              </c:strCache>
            </c:strRef>
          </c:tx>
          <c:dLbls>
            <c:dLbl>
              <c:idx val="0"/>
              <c:layout>
                <c:manualLayout>
                  <c:x val="-2.5000000000000001E-2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6296296296296412E-2"/>
                </c:manualLayout>
              </c:layout>
              <c:showVal val="1"/>
            </c:dLbl>
            <c:dLbl>
              <c:idx val="2"/>
              <c:layout>
                <c:manualLayout>
                  <c:x val="-3.0555555555555659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0.00_);\(0.00\)</c:formatCode>
                <c:ptCount val="3"/>
                <c:pt idx="0">
                  <c:v>25.5</c:v>
                </c:pt>
                <c:pt idx="1">
                  <c:v>24</c:v>
                </c:pt>
                <c:pt idx="2">
                  <c:v>24.3</c:v>
                </c:pt>
              </c:numCache>
            </c:numRef>
          </c:val>
        </c:ser>
        <c:marker val="1"/>
        <c:axId val="88467712"/>
        <c:axId val="88494080"/>
      </c:lineChart>
      <c:catAx>
        <c:axId val="88467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8494080"/>
        <c:crosses val="autoZero"/>
        <c:auto val="1"/>
        <c:lblAlgn val="ctr"/>
        <c:lblOffset val="100"/>
      </c:catAx>
      <c:valAx>
        <c:axId val="88494080"/>
        <c:scaling>
          <c:orientation val="minMax"/>
        </c:scaling>
        <c:axPos val="l"/>
        <c:majorGridlines/>
        <c:numFmt formatCode="0.00_);\(0.00\)" sourceLinked="1"/>
        <c:majorTickMark val="none"/>
        <c:tickLblPos val="nextTo"/>
        <c:spPr>
          <a:ln w="9525">
            <a:noFill/>
          </a:ln>
        </c:spPr>
        <c:crossAx val="88467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5888888888888871E-2"/>
          <c:y val="0.83563903470399692"/>
          <c:w val="0.94544444444444464"/>
          <c:h val="0.13658318751822726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ԲՅՈՒՋԵԻ  ԾԱԽՍԵՐ                          (ընդամենը` հազար դրամ)</a:t>
            </a:r>
            <a:endParaRPr lang="hy-AM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'[spendings 2014-2016-inn amis.xlsx]Sheet1'!$D$7</c:f>
              <c:strCache>
                <c:ptCount val="1"/>
                <c:pt idx="0">
                  <c:v>ԸՆԴԱՄԵՆԸ ԾԱԽՍԵՐ</c:v>
                </c:pt>
              </c:strCache>
            </c:strRef>
          </c:tx>
          <c:dLbls>
            <c:dLbl>
              <c:idx val="1"/>
              <c:layout>
                <c:manualLayout>
                  <c:x val="5.5555555555555558E-3"/>
                  <c:y val="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8.3333333333334494E-3"/>
                  <c:y val="-4.629629629629639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'[spendings 2014-2016-inn amis.xlsx]Sheet1'!$E$6:$G$6</c:f>
              <c:strCache>
                <c:ptCount val="3"/>
                <c:pt idx="0">
                  <c:v>2014թ. ինն ամիս (փաստացի)</c:v>
                </c:pt>
                <c:pt idx="1">
                  <c:v>2015թ. ինն ամիս (փաստացի)</c:v>
                </c:pt>
                <c:pt idx="2">
                  <c:v>2016թ. ինն ամիս (փաստացի)</c:v>
                </c:pt>
              </c:strCache>
            </c:strRef>
          </c:cat>
          <c:val>
            <c:numRef>
              <c:f>'[spendings 2014-2016-inn amis.xlsx]Sheet1'!$E$7:$G$7</c:f>
              <c:numCache>
                <c:formatCode>#,##0.00_);\(#,##0.00\)</c:formatCode>
                <c:ptCount val="3"/>
                <c:pt idx="0">
                  <c:v>826960543.14999998</c:v>
                </c:pt>
                <c:pt idx="1">
                  <c:v>961680286.0699991</c:v>
                </c:pt>
                <c:pt idx="2">
                  <c:v>990438232.13000011</c:v>
                </c:pt>
              </c:numCache>
            </c:numRef>
          </c:val>
        </c:ser>
        <c:marker val="1"/>
        <c:axId val="88518656"/>
        <c:axId val="88520192"/>
      </c:lineChart>
      <c:catAx>
        <c:axId val="88518656"/>
        <c:scaling>
          <c:orientation val="minMax"/>
        </c:scaling>
        <c:axPos val="b"/>
        <c:majorTickMark val="none"/>
        <c:tickLblPos val="nextTo"/>
        <c:crossAx val="88520192"/>
        <c:crosses val="autoZero"/>
        <c:auto val="1"/>
        <c:lblAlgn val="ctr"/>
        <c:lblOffset val="100"/>
      </c:catAx>
      <c:valAx>
        <c:axId val="88520192"/>
        <c:scaling>
          <c:orientation val="minMax"/>
        </c:scaling>
        <c:axPos val="l"/>
        <c:majorGridlines/>
        <c:numFmt formatCode="#,##0.00_);\(#,##0.00\)" sourceLinked="1"/>
        <c:majorTickMark val="none"/>
        <c:tickLblPos val="nextTo"/>
        <c:spPr>
          <a:ln w="9525">
            <a:noFill/>
          </a:ln>
        </c:spPr>
        <c:crossAx val="88518656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ԾԱԽՍԵՐ</a:t>
            </a:r>
            <a:r>
              <a:rPr lang="en-US" sz="1200" baseline="0"/>
              <a:t> /հազար  դրամ/</a:t>
            </a:r>
            <a:endParaRPr lang="en-US" sz="1200"/>
          </a:p>
        </c:rich>
      </c:tx>
    </c:title>
    <c:plotArea>
      <c:layout>
        <c:manualLayout>
          <c:layoutTarget val="inner"/>
          <c:xMode val="edge"/>
          <c:yMode val="edge"/>
          <c:x val="0.23839107611548571"/>
          <c:y val="0.16621536891221941"/>
          <c:w val="0.73105336832895851"/>
          <c:h val="0.51224555263925364"/>
        </c:manualLayout>
      </c:layout>
      <c:lineChart>
        <c:grouping val="standard"/>
        <c:ser>
          <c:idx val="0"/>
          <c:order val="0"/>
          <c:tx>
            <c:strRef>
              <c:f>Sheet1!$A$7</c:f>
              <c:strCache>
                <c:ptCount val="1"/>
                <c:pt idx="0">
                  <c:v>ԸՆԴՀԱՆՈՒՐ ԲՆՈՒՅԹԻ ՀԱՆՐԱՅԻՆ ԾԱՌԱՅՈՒԹՅՈՒՆՆԵՐ</c:v>
                </c:pt>
              </c:strCache>
            </c:strRef>
          </c:tx>
          <c:dLbls>
            <c:dLbl>
              <c:idx val="0"/>
              <c:layout>
                <c:manualLayout>
                  <c:x val="-0.12777777777777777"/>
                  <c:y val="-6.9444444444444503E-2"/>
                </c:manualLayout>
              </c:layout>
              <c:showVal val="1"/>
            </c:dLbl>
            <c:dLbl>
              <c:idx val="1"/>
              <c:layout>
                <c:manualLayout>
                  <c:x val="-0.10277777777777777"/>
                  <c:y val="-6.0185185185185147E-2"/>
                </c:manualLayout>
              </c:layout>
              <c:showVal val="1"/>
            </c:dLbl>
            <c:dLbl>
              <c:idx val="2"/>
              <c:layout>
                <c:manualLayout>
                  <c:x val="-1.0185067526416061E-16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#,##0.00_);\(#,##0.00\)</c:formatCode>
                <c:ptCount val="3"/>
                <c:pt idx="0">
                  <c:v>158648221.36000001</c:v>
                </c:pt>
                <c:pt idx="1">
                  <c:v>197176740.19</c:v>
                </c:pt>
                <c:pt idx="2">
                  <c:v>210216724.62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ՊԱՇՏՊԱՆՈՒԹՅՈՒՆ</c:v>
                </c:pt>
              </c:strCache>
            </c:strRef>
          </c:tx>
          <c:dLbls>
            <c:dLbl>
              <c:idx val="0"/>
              <c:layout>
                <c:manualLayout>
                  <c:x val="-5.5555555555555558E-3"/>
                  <c:y val="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2.7777777777777863E-2"/>
                </c:manualLayout>
              </c:layout>
              <c:showVal val="1"/>
            </c:dLbl>
            <c:dLbl>
              <c:idx val="2"/>
              <c:layout>
                <c:manualLayout>
                  <c:x val="-1.0185067526416061E-16"/>
                  <c:y val="-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#,##0.00_);\(#,##0.00\)</c:formatCode>
                <c:ptCount val="3"/>
                <c:pt idx="0">
                  <c:v>131095540.15999997</c:v>
                </c:pt>
                <c:pt idx="1">
                  <c:v>139844497.45000011</c:v>
                </c:pt>
                <c:pt idx="2">
                  <c:v>140402354.13999999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ՀԱՍԱՐԱԿԱԿԱՆ ԿԱՐԳ, ԱՆՎՏԱՆԳՈՒԹՅՈՒՆ  ԵՎ ԴԱՏԱԿԱՆ ԳՈՐԾՈՒՆԵՈՒԹՅՈՒՆ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Sheet1!$B$9:$D$9</c:f>
              <c:numCache>
                <c:formatCode>#,##0.00_);\(#,##0.00\)</c:formatCode>
                <c:ptCount val="3"/>
                <c:pt idx="0">
                  <c:v>69228321.689999998</c:v>
                </c:pt>
                <c:pt idx="1">
                  <c:v>83508850.649999991</c:v>
                </c:pt>
                <c:pt idx="2">
                  <c:v>82522654.730000004</c:v>
                </c:pt>
              </c:numCache>
            </c:numRef>
          </c:val>
        </c:ser>
        <c:marker val="1"/>
        <c:axId val="88108416"/>
        <c:axId val="88122496"/>
      </c:lineChart>
      <c:catAx>
        <c:axId val="88108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122496"/>
        <c:crosses val="autoZero"/>
        <c:auto val="1"/>
        <c:lblAlgn val="ctr"/>
        <c:lblOffset val="100"/>
      </c:catAx>
      <c:valAx>
        <c:axId val="88122496"/>
        <c:scaling>
          <c:orientation val="minMax"/>
        </c:scaling>
        <c:axPos val="l"/>
        <c:majorGridlines/>
        <c:numFmt formatCode="#,##0.00_);\(#,##0.00\)" sourceLinked="1"/>
        <c:majorTickMark val="none"/>
        <c:tickLblPos val="nextTo"/>
        <c:spPr>
          <a:ln w="9525">
            <a:noFill/>
          </a:ln>
        </c:spPr>
        <c:crossAx val="88108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9326334208223991E-2"/>
          <c:y val="0.81094160104986979"/>
          <c:w val="0.96134733158355301"/>
          <c:h val="0.16128062117235342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ԾԱԽՍԵՐ</a:t>
            </a:r>
            <a:r>
              <a:rPr lang="en-US" sz="1200" baseline="0"/>
              <a:t> /հազար դրամ/</a:t>
            </a:r>
            <a:endParaRPr lang="en-US" sz="1200"/>
          </a:p>
        </c:rich>
      </c:tx>
    </c:title>
    <c:plotArea>
      <c:layout>
        <c:manualLayout>
          <c:layoutTarget val="inner"/>
          <c:xMode val="edge"/>
          <c:yMode val="edge"/>
          <c:x val="0.23839107611548571"/>
          <c:y val="0.17841462525517643"/>
          <c:w val="0.73105336832895851"/>
          <c:h val="0.47226851851851853"/>
        </c:manualLayout>
      </c:layout>
      <c:lineChart>
        <c:grouping val="standard"/>
        <c:ser>
          <c:idx val="0"/>
          <c:order val="0"/>
          <c:tx>
            <c:strRef>
              <c:f>Sheet1!$A$7</c:f>
              <c:strCache>
                <c:ptCount val="1"/>
                <c:pt idx="0">
                  <c:v>ՏՆՏԵՍԱԿԱՆ ՀԱՐԱ-ԲԵՐՈՒԹ ՅՈՒՆՆԵՐ</c:v>
                </c:pt>
              </c:strCache>
            </c:strRef>
          </c:tx>
          <c:dLbls>
            <c:dLbl>
              <c:idx val="0"/>
              <c:layout>
                <c:manualLayout>
                  <c:x val="-7.2222222222222326E-2"/>
                  <c:y val="-6.0185185185185085E-2"/>
                </c:manualLayout>
              </c:layout>
              <c:showVal val="1"/>
            </c:dLbl>
            <c:dLbl>
              <c:idx val="1"/>
              <c:layout>
                <c:manualLayout>
                  <c:x val="-8.8888888888889059E-2"/>
                  <c:y val="-7.407407407407407E-2"/>
                </c:manualLayout>
              </c:layout>
              <c:showVal val="1"/>
            </c:dLbl>
            <c:dLbl>
              <c:idx val="2"/>
              <c:layout>
                <c:manualLayout>
                  <c:x val="-3.0555555555555454E-2"/>
                  <c:y val="-5.55555555555554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#,##0.00_);\(#,##0.00\)</c:formatCode>
                <c:ptCount val="3"/>
                <c:pt idx="0">
                  <c:v>48047615.309999995</c:v>
                </c:pt>
                <c:pt idx="1">
                  <c:v>59548257.290000036</c:v>
                </c:pt>
                <c:pt idx="2">
                  <c:v>79192828.230000004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ՇՐՋԱԿԱ  ՄԻՋԱՎԱՅՐԻ ՊԱՇՏՊԱՆՈՒԹՅՈՒՆ</c:v>
                </c:pt>
              </c:strCache>
            </c:strRef>
          </c:tx>
          <c:dLbls>
            <c:dLbl>
              <c:idx val="0"/>
              <c:layout>
                <c:manualLayout>
                  <c:x val="-1.6666666666666694E-2"/>
                  <c:y val="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2.777777777777779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3.240740740740740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#,##0.00_);\(#,##0.00\)</c:formatCode>
                <c:ptCount val="3"/>
                <c:pt idx="0">
                  <c:v>2730784.13</c:v>
                </c:pt>
                <c:pt idx="1">
                  <c:v>3605984.3299999987</c:v>
                </c:pt>
                <c:pt idx="2">
                  <c:v>3049229.9499999997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 ԲՆԱԿԱՐԱՆԱՅԻՆ ՇԻՆԱՐԱՐՈՒԹՅՈՒՆ ԵՎ ԿՈՄՈՒՆԱԼ ԾԱՌԱՅՈՒԹՅՈՒՆՆԵՐ</c:v>
                </c:pt>
              </c:strCache>
            </c:strRef>
          </c:tx>
          <c:dLbls>
            <c:dLbl>
              <c:idx val="0"/>
              <c:layout>
                <c:manualLayout>
                  <c:x val="-0.1"/>
                  <c:y val="-5.0925925925925923E-2"/>
                </c:manualLayout>
              </c:layout>
              <c:showVal val="1"/>
            </c:dLbl>
            <c:dLbl>
              <c:idx val="1"/>
              <c:layout>
                <c:manualLayout>
                  <c:x val="-8.3333333333333367E-3"/>
                  <c:y val="-3.240740740740746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Sheet1!$B$9:$D$9</c:f>
              <c:numCache>
                <c:formatCode>#,##0.00_);\(#,##0.00\)</c:formatCode>
                <c:ptCount val="3"/>
                <c:pt idx="0">
                  <c:v>19406404.84</c:v>
                </c:pt>
                <c:pt idx="1">
                  <c:v>25369688.650000021</c:v>
                </c:pt>
                <c:pt idx="2">
                  <c:v>15169153.66</c:v>
                </c:pt>
              </c:numCache>
            </c:numRef>
          </c:val>
        </c:ser>
        <c:marker val="1"/>
        <c:axId val="88691072"/>
        <c:axId val="88692608"/>
      </c:lineChart>
      <c:catAx>
        <c:axId val="88691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88692608"/>
        <c:crosses val="autoZero"/>
        <c:auto val="1"/>
        <c:lblAlgn val="ctr"/>
        <c:lblOffset val="100"/>
      </c:catAx>
      <c:valAx>
        <c:axId val="88692608"/>
        <c:scaling>
          <c:orientation val="minMax"/>
        </c:scaling>
        <c:axPos val="l"/>
        <c:majorGridlines/>
        <c:numFmt formatCode="#,##0.00_);\(#,##0.00\)" sourceLinked="1"/>
        <c:majorTickMark val="none"/>
        <c:tickLblPos val="nextTo"/>
        <c:spPr>
          <a:ln w="9525">
            <a:noFill/>
          </a:ln>
        </c:spPr>
        <c:crossAx val="88691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5000000000000988E-4"/>
          <c:y val="0.81557123067950021"/>
          <c:w val="0.9984999999999995"/>
          <c:h val="0.16591025080198346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ԾԱԽՍԵՐ </a:t>
            </a:r>
            <a:r>
              <a:rPr lang="en-US" sz="1200" baseline="0"/>
              <a:t>(հազար դրամ)</a:t>
            </a:r>
            <a:endParaRPr lang="en-US" sz="1200"/>
          </a:p>
        </c:rich>
      </c:tx>
    </c:title>
    <c:plotArea>
      <c:layout>
        <c:manualLayout>
          <c:layoutTarget val="inner"/>
          <c:xMode val="edge"/>
          <c:yMode val="edge"/>
          <c:x val="0.23839107611548571"/>
          <c:y val="0.14387758821813937"/>
          <c:w val="0.73105336832895851"/>
          <c:h val="0.57162948381452439"/>
        </c:manualLayout>
      </c:layout>
      <c:lineChart>
        <c:grouping val="standard"/>
        <c:ser>
          <c:idx val="0"/>
          <c:order val="0"/>
          <c:tx>
            <c:strRef>
              <c:f>Sheet1!$A$7</c:f>
              <c:strCache>
                <c:ptCount val="1"/>
                <c:pt idx="0">
                  <c:v>ԱՌՈՂՋԱՊԱՀՈՒԹՅՈՒՆ</c:v>
                </c:pt>
              </c:strCache>
            </c:strRef>
          </c:tx>
          <c:dLbls>
            <c:dLbl>
              <c:idx val="0"/>
              <c:layout>
                <c:manualLayout>
                  <c:x val="-8.3333333333333343E-2"/>
                  <c:y val="-6.9444444444444503E-2"/>
                </c:manualLayout>
              </c:layout>
              <c:showVal val="1"/>
            </c:dLbl>
            <c:dLbl>
              <c:idx val="1"/>
              <c:layout>
                <c:manualLayout>
                  <c:x val="-3.0555555555555582E-2"/>
                  <c:y val="-6.0185185185185085E-2"/>
                </c:manualLayout>
              </c:layout>
              <c:showVal val="1"/>
            </c:dLbl>
            <c:dLbl>
              <c:idx val="2"/>
              <c:layout>
                <c:manualLayout>
                  <c:x val="-5.5555555555554465E-3"/>
                  <c:y val="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#,##0.00_);\(#,##0.00\)</c:formatCode>
                <c:ptCount val="3"/>
                <c:pt idx="0">
                  <c:v>47294835.040000007</c:v>
                </c:pt>
                <c:pt idx="1">
                  <c:v>55535023.620000012</c:v>
                </c:pt>
                <c:pt idx="2">
                  <c:v>59983223.580000006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ՀԱՆԳԻՍՏ, ՄՇԱԿՈՒՅԹ ԵՎ ԿՐՈՆ</c:v>
                </c:pt>
              </c:strCache>
            </c:strRef>
          </c:tx>
          <c:dLbls>
            <c:dLbl>
              <c:idx val="0"/>
              <c:layout>
                <c:manualLayout>
                  <c:x val="-9.4444444444444525E-2"/>
                  <c:y val="-8.3333333333333343E-2"/>
                </c:manualLayout>
              </c:layout>
              <c:showVal val="1"/>
            </c:dLbl>
            <c:dLbl>
              <c:idx val="1"/>
              <c:layout>
                <c:manualLayout>
                  <c:x val="-1.6666666666666694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#,##0.00_);\(#,##0.00\)</c:formatCode>
                <c:ptCount val="3"/>
                <c:pt idx="0">
                  <c:v>14292035.53999999</c:v>
                </c:pt>
                <c:pt idx="1">
                  <c:v>19280306.070000004</c:v>
                </c:pt>
                <c:pt idx="2">
                  <c:v>18907734.370000001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ԿՐԹՈՒԹՅՈՒՆ</c:v>
                </c:pt>
              </c:strCache>
            </c:strRef>
          </c:tx>
          <c:dLbls>
            <c:dLbl>
              <c:idx val="0"/>
              <c:layout>
                <c:manualLayout>
                  <c:x val="-5.8333333333333473E-2"/>
                  <c:y val="-7.8703703703703734E-2"/>
                </c:manualLayout>
              </c:layout>
              <c:showVal val="1"/>
            </c:dLbl>
            <c:dLbl>
              <c:idx val="1"/>
              <c:layout>
                <c:manualLayout>
                  <c:x val="-1.1111111111111125E-2"/>
                  <c:y val="-4.629629629629639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777777777777786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Sheet1!$B$9:$D$9</c:f>
              <c:numCache>
                <c:formatCode>#,##0.00_);\(#,##0.00\)</c:formatCode>
                <c:ptCount val="3"/>
                <c:pt idx="0">
                  <c:v>75585675.86999999</c:v>
                </c:pt>
                <c:pt idx="1">
                  <c:v>81734842.979999989</c:v>
                </c:pt>
                <c:pt idx="2">
                  <c:v>82267048.989999995</c:v>
                </c:pt>
              </c:numCache>
            </c:numRef>
          </c:val>
        </c:ser>
        <c:marker val="1"/>
        <c:axId val="88723840"/>
        <c:axId val="88725376"/>
      </c:lineChart>
      <c:catAx>
        <c:axId val="887238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88725376"/>
        <c:crosses val="autoZero"/>
        <c:auto val="1"/>
        <c:lblAlgn val="ctr"/>
        <c:lblOffset val="100"/>
      </c:catAx>
      <c:valAx>
        <c:axId val="88725376"/>
        <c:scaling>
          <c:orientation val="minMax"/>
        </c:scaling>
        <c:axPos val="l"/>
        <c:majorGridlines/>
        <c:numFmt formatCode="#,##0.00_);\(#,##0.00\)" sourceLinked="1"/>
        <c:majorTickMark val="none"/>
        <c:tickLblPos val="nextTo"/>
        <c:spPr>
          <a:ln w="9525">
            <a:noFill/>
          </a:ln>
        </c:spPr>
        <c:crossAx val="88723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444444444444484E-2"/>
          <c:y val="0.85261738116068819"/>
          <c:w val="0.8974444444444446"/>
          <c:h val="0.11960484106153423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ԾԱԽՍԵՐ /հազար  դրամ/</a:t>
            </a:r>
          </a:p>
        </c:rich>
      </c:tx>
    </c:title>
    <c:plotArea>
      <c:layout>
        <c:manualLayout>
          <c:layoutTarget val="inner"/>
          <c:xMode val="edge"/>
          <c:yMode val="edge"/>
          <c:x val="0.23839107611548571"/>
          <c:y val="0.16621536891221941"/>
          <c:w val="0.73105336832895851"/>
          <c:h val="0.58169911052785073"/>
        </c:manualLayout>
      </c:layout>
      <c:lineChart>
        <c:grouping val="standard"/>
        <c:ser>
          <c:idx val="0"/>
          <c:order val="0"/>
          <c:tx>
            <c:strRef>
              <c:f>Sheet1!$A$7</c:f>
              <c:strCache>
                <c:ptCount val="1"/>
                <c:pt idx="0">
                  <c:v> ՍՈՑԻԱԼԱԿԱՆ ՊԱՇՏՊԱՆՈՒԹՅՈՒՆ</c:v>
                </c:pt>
              </c:strCache>
            </c:strRef>
          </c:tx>
          <c:dLbls>
            <c:dLbl>
              <c:idx val="0"/>
              <c:layout>
                <c:manualLayout>
                  <c:x val="-8.3333333333333367E-3"/>
                  <c:y val="2.614379084967328E-2"/>
                </c:manualLayout>
              </c:layout>
              <c:showVal val="1"/>
            </c:dLbl>
            <c:dLbl>
              <c:idx val="1"/>
              <c:layout>
                <c:manualLayout>
                  <c:x val="-2.5000000000000001E-2"/>
                  <c:y val="-5.6644880174291853E-2"/>
                </c:manualLayout>
              </c:layout>
              <c:showVal val="1"/>
            </c:dLbl>
            <c:dLbl>
              <c:idx val="2"/>
              <c:layout>
                <c:manualLayout>
                  <c:x val="-1.0185067526416061E-16"/>
                  <c:y val="-3.921568627450980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#,##0.00_);\(#,##0.00\)</c:formatCode>
                <c:ptCount val="3"/>
                <c:pt idx="0">
                  <c:v>245462870.86000001</c:v>
                </c:pt>
                <c:pt idx="1">
                  <c:v>281986080.54000002</c:v>
                </c:pt>
                <c:pt idx="2">
                  <c:v>290182758.01999974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 ՀԻՄՆԱԿԱՆ ԲԱԺԻՆՆԵՐԻՆ ՉԴԱՍՎՈՂ ՊԱՀՈՒՍՏԱՅԻՆ ՖՈՆԴԵՐ</c:v>
                </c:pt>
              </c:strCache>
            </c:strRef>
          </c:tx>
          <c:dLbls>
            <c:dLbl>
              <c:idx val="0"/>
              <c:layout>
                <c:manualLayout>
                  <c:x val="-3.333333333333334E-2"/>
                  <c:y val="-5.2287581699346421E-2"/>
                </c:manualLayout>
              </c:layout>
              <c:showVal val="1"/>
            </c:dLbl>
            <c:dLbl>
              <c:idx val="1"/>
              <c:layout>
                <c:manualLayout>
                  <c:x val="-1.1111111111111125E-2"/>
                  <c:y val="-4.3572984749455403E-2"/>
                </c:manualLayout>
              </c:layout>
              <c:showVal val="1"/>
            </c:dLbl>
            <c:dLbl>
              <c:idx val="2"/>
              <c:layout>
                <c:manualLayout>
                  <c:x val="-2.7777777777776881E-3"/>
                  <c:y val="-4.357298474945540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#,##0.00_);\(#,##0.00\)</c:formatCode>
                <c:ptCount val="3"/>
                <c:pt idx="0">
                  <c:v>15168238.350000009</c:v>
                </c:pt>
                <c:pt idx="1">
                  <c:v>14090014.300000004</c:v>
                </c:pt>
                <c:pt idx="2">
                  <c:v>8544521.8399999905</c:v>
                </c:pt>
              </c:numCache>
            </c:numRef>
          </c:val>
        </c:ser>
        <c:marker val="1"/>
        <c:axId val="88774912"/>
        <c:axId val="88788992"/>
      </c:lineChart>
      <c:catAx>
        <c:axId val="88774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88788992"/>
        <c:crosses val="autoZero"/>
        <c:auto val="1"/>
        <c:lblAlgn val="ctr"/>
        <c:lblOffset val="100"/>
      </c:catAx>
      <c:valAx>
        <c:axId val="88788992"/>
        <c:scaling>
          <c:orientation val="minMax"/>
        </c:scaling>
        <c:axPos val="l"/>
        <c:majorGridlines/>
        <c:numFmt formatCode="#,##0.00_);\(#,##0.00\)" sourceLinked="1"/>
        <c:majorTickMark val="none"/>
        <c:tickLblPos val="nextTo"/>
        <c:spPr>
          <a:ln w="9525">
            <a:noFill/>
          </a:ln>
        </c:spPr>
        <c:crossAx val="88774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575"/>
          <c:y val="0.87930592009332165"/>
          <c:w val="0.74850000000000005"/>
          <c:h val="8.4201876726193711E-2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ԲՅՈՒՋԵԻ ՊԱԿԱՍՈՒՐԴ/ՀԱՎԵԼՈՒՐԴ</a:t>
            </a:r>
            <a:r>
              <a:rPr lang="en-US" sz="1200" baseline="0"/>
              <a:t> (հազար դրամ)</a:t>
            </a:r>
            <a:endParaRPr lang="hy-AM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  ԸՆԴԱՄԵՆԸ</c:v>
                </c:pt>
              </c:strCache>
            </c:strRef>
          </c:tx>
          <c:dLbls>
            <c:dLbl>
              <c:idx val="2"/>
              <c:layout>
                <c:manualLayout>
                  <c:x val="-1.0185067526416061E-16"/>
                  <c:y val="-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ինն ամիս (փաստացի)</c:v>
                </c:pt>
                <c:pt idx="1">
                  <c:v>2015թ. ինն ամիս (փաստացի)</c:v>
                </c:pt>
                <c:pt idx="2">
                  <c:v>2016թ. ինն ամիս (փաստացի)</c:v>
                </c:pt>
              </c:strCache>
            </c:strRef>
          </c:cat>
          <c:val>
            <c:numRef>
              <c:f>Sheet1!$B$6:$D$6</c:f>
              <c:numCache>
                <c:formatCode>#,##0.00_);\(#,##0.00\)</c:formatCode>
                <c:ptCount val="3"/>
                <c:pt idx="0">
                  <c:v>-5793570.5061999932</c:v>
                </c:pt>
                <c:pt idx="1">
                  <c:v>108317421.28300002</c:v>
                </c:pt>
                <c:pt idx="2">
                  <c:v>144469258.12980011</c:v>
                </c:pt>
              </c:numCache>
            </c:numRef>
          </c:val>
        </c:ser>
        <c:marker val="1"/>
        <c:axId val="90923008"/>
        <c:axId val="90924544"/>
      </c:lineChart>
      <c:catAx>
        <c:axId val="90923008"/>
        <c:scaling>
          <c:orientation val="minMax"/>
        </c:scaling>
        <c:axPos val="b"/>
        <c:tickLblPos val="nextTo"/>
        <c:crossAx val="90924544"/>
        <c:crosses val="autoZero"/>
        <c:auto val="1"/>
        <c:lblAlgn val="ctr"/>
        <c:lblOffset val="100"/>
      </c:catAx>
      <c:valAx>
        <c:axId val="90924544"/>
        <c:scaling>
          <c:orientation val="minMax"/>
        </c:scaling>
        <c:axPos val="l"/>
        <c:majorGridlines/>
        <c:numFmt formatCode="#,##0.00_);\(#,##0.00\)" sourceLinked="1"/>
        <c:tickLblPos val="nextTo"/>
        <c:crossAx val="909230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9.8571741032371027E-2"/>
          <c:y val="5.1400554097404488E-2"/>
          <c:w val="0.87365048118985211"/>
          <c:h val="0.63630547602004406"/>
        </c:manualLayout>
      </c:layout>
      <c:barChart>
        <c:barDir val="col"/>
        <c:grouping val="clustered"/>
        <c:ser>
          <c:idx val="0"/>
          <c:order val="0"/>
          <c:tx>
            <c:strRef>
              <c:f>Sheet1!$A$6</c:f>
              <c:strCache>
                <c:ptCount val="1"/>
                <c:pt idx="0">
                  <c:v>ՀԱՐԿԱՅԻՆ ԵԿԱՄՈՒՏՆԵՐ ԵՎ ՊԵՏԱԿԱՆ ՏՈՒՐՔԵՐ (մլրդ դրամ)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6229508196721311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1.748599457854652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2016թ. ինն ամիս (հաստատված)</c:v>
                </c:pt>
                <c:pt idx="1">
                  <c:v>2016թ. (ճշտված)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819.08</c:v>
                </c:pt>
                <c:pt idx="1">
                  <c:v>841.01</c:v>
                </c:pt>
                <c:pt idx="2">
                  <c:v>787.52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ՊԱՇՏՈՆԱԿԱՆ ԴՐԱՄԱՇՆՈՐՀՆԵՐ  (մլրդ դրամ)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2016թ. ինն ամիս (հաստատված)</c:v>
                </c:pt>
                <c:pt idx="1">
                  <c:v>2016թ. (ճշտված)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15.12</c:v>
                </c:pt>
                <c:pt idx="1">
                  <c:v>20.459999999999987</c:v>
                </c:pt>
                <c:pt idx="2">
                  <c:v>16.579999999999988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ԱՅԼ ԵԿԱՄՈՒՏՆԵՐ (մլրդ դրամ)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2016թ. ինն ամիս (հաստատված)</c:v>
                </c:pt>
                <c:pt idx="1">
                  <c:v>2016թ. (ճշտված)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18.53</c:v>
                </c:pt>
                <c:pt idx="1">
                  <c:v>47.290000000000013</c:v>
                </c:pt>
                <c:pt idx="2">
                  <c:v>41.87</c:v>
                </c:pt>
              </c:numCache>
            </c:numRef>
          </c:val>
        </c:ser>
        <c:gapWidth val="75"/>
        <c:overlap val="-25"/>
        <c:axId val="88155264"/>
        <c:axId val="88156800"/>
      </c:barChart>
      <c:catAx>
        <c:axId val="88155264"/>
        <c:scaling>
          <c:orientation val="minMax"/>
        </c:scaling>
        <c:axPos val="b"/>
        <c:majorTickMark val="none"/>
        <c:tickLblPos val="nextTo"/>
        <c:crossAx val="88156800"/>
        <c:crosses val="autoZero"/>
        <c:auto val="1"/>
        <c:lblAlgn val="ctr"/>
        <c:lblOffset val="100"/>
      </c:catAx>
      <c:valAx>
        <c:axId val="88156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8155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829017684264851"/>
          <c:w val="0.99420691163604547"/>
          <c:h val="0.15016152489135581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ԲՅՈՒՋԵԻ ԾԱԽՍԵՐ (հազար դրամ)</a:t>
            </a:r>
            <a:endParaRPr lang="hy-AM" sz="1200"/>
          </a:p>
        </c:rich>
      </c:tx>
    </c:title>
    <c:plotArea>
      <c:layout>
        <c:manualLayout>
          <c:layoutTarget val="inner"/>
          <c:xMode val="edge"/>
          <c:yMode val="edge"/>
          <c:x val="0.25940507436570431"/>
          <c:y val="0.16621536891221941"/>
          <c:w val="0.71003937007874063"/>
          <c:h val="0.64111876640420029"/>
        </c:manualLayout>
      </c:layout>
      <c:barChart>
        <c:barDir val="col"/>
        <c:grouping val="clustered"/>
        <c:ser>
          <c:idx val="0"/>
          <c:order val="0"/>
          <c:tx>
            <c:strRef>
              <c:f>Sheet1!$A$7</c:f>
              <c:strCache>
                <c:ptCount val="1"/>
                <c:pt idx="0">
                  <c:v>ԸՆԴԱՄԵՆԸ ԾԱԽՍԵՐ</c:v>
                </c:pt>
              </c:strCache>
            </c:strRef>
          </c:tx>
          <c:dLbls>
            <c:dLbl>
              <c:idx val="0"/>
              <c:layout>
                <c:manualLayout>
                  <c:x val="2.77777777777779E-3"/>
                  <c:y val="-1.8518518518518549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8518518518518549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en-US"/>
              </a:p>
            </c:txPr>
            <c:showVal val="1"/>
          </c:dLbls>
          <c:cat>
            <c:strRef>
              <c:f>Sheet1!$B$6:$D$6</c:f>
              <c:strCache>
                <c:ptCount val="3"/>
                <c:pt idx="0">
                  <c:v>2016թ. ինն ամիս (հաստատված)</c:v>
                </c:pt>
                <c:pt idx="1">
                  <c:v>2016թ. ինն ամիս (ճշտված)</c:v>
                </c:pt>
                <c:pt idx="2">
                  <c:v>2016թ. ինն ամիս (փաստացի)</c:v>
                </c:pt>
              </c:strCache>
            </c:strRef>
          </c:cat>
          <c:val>
            <c:numRef>
              <c:f>Sheet1!$B$7:$D$7</c:f>
              <c:numCache>
                <c:formatCode>#,##0.00_);\(#,##0.00\)</c:formatCode>
                <c:ptCount val="3"/>
                <c:pt idx="0">
                  <c:v>1010784678.3999999</c:v>
                </c:pt>
                <c:pt idx="1">
                  <c:v>1074237495.6799996</c:v>
                </c:pt>
                <c:pt idx="2">
                  <c:v>990438232.13000011</c:v>
                </c:pt>
              </c:numCache>
            </c:numRef>
          </c:val>
        </c:ser>
        <c:axId val="88172032"/>
        <c:axId val="88173568"/>
      </c:barChart>
      <c:catAx>
        <c:axId val="88172032"/>
        <c:scaling>
          <c:orientation val="minMax"/>
        </c:scaling>
        <c:axPos val="b"/>
        <c:tickLblPos val="nextTo"/>
        <c:crossAx val="88173568"/>
        <c:crosses val="autoZero"/>
        <c:auto val="1"/>
        <c:lblAlgn val="ctr"/>
        <c:lblOffset val="100"/>
      </c:catAx>
      <c:valAx>
        <c:axId val="88173568"/>
        <c:scaling>
          <c:orientation val="minMax"/>
          <c:min val="0"/>
        </c:scaling>
        <c:axPos val="l"/>
        <c:majorGridlines/>
        <c:numFmt formatCode="#,##0.00_);\(#,##0.00\)" sourceLinked="1"/>
        <c:tickLblPos val="nextTo"/>
        <c:crossAx val="881720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 ԲՅՈՒՋԵԻ  ՊԱԿԱՍՈՒՐԴ             (հազար</a:t>
            </a:r>
            <a:r>
              <a:rPr lang="en-US" sz="1200" baseline="0"/>
              <a:t> դրամ)</a:t>
            </a:r>
            <a:endParaRPr lang="hy-AM" sz="1200"/>
          </a:p>
        </c:rich>
      </c:tx>
      <c:layout>
        <c:manualLayout>
          <c:xMode val="edge"/>
          <c:yMode val="edge"/>
          <c:x val="0.20400000000000001"/>
          <c:y val="0"/>
        </c:manualLayout>
      </c:layout>
    </c:title>
    <c:plotArea>
      <c:layout>
        <c:manualLayout>
          <c:layoutTarget val="inner"/>
          <c:xMode val="edge"/>
          <c:yMode val="edge"/>
          <c:x val="0.26057906458797331"/>
          <c:y val="0.19907516768737241"/>
          <c:w val="0.70601336302895257"/>
          <c:h val="0.60825896762904663"/>
        </c:manualLayout>
      </c:layout>
      <c:barChart>
        <c:barDir val="col"/>
        <c:grouping val="clustered"/>
        <c:ser>
          <c:idx val="0"/>
          <c:order val="0"/>
          <c:tx>
            <c:strRef>
              <c:f>Sheet1!$A$6</c:f>
              <c:strCache>
                <c:ptCount val="1"/>
                <c:pt idx="0">
                  <c:v>  ԸՆԴԱՄԵՆԸ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8518518518518535E-2"/>
                </c:manualLayout>
              </c:layout>
              <c:showVal val="1"/>
            </c:dLbl>
            <c:dLbl>
              <c:idx val="1"/>
              <c:layout>
                <c:manualLayout>
                  <c:x val="2.7777777777777848E-3"/>
                  <c:y val="-2.7777777777777832E-2"/>
                </c:manualLayout>
              </c:layout>
              <c:showVal val="1"/>
            </c:dLbl>
            <c:dLbl>
              <c:idx val="2"/>
              <c:layout>
                <c:manualLayout>
                  <c:x val="2.7777777777776833E-3"/>
                  <c:y val="-1.851851851851853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2016թ. ինն ամիս (հաստատված)</c:v>
                </c:pt>
                <c:pt idx="1">
                  <c:v>2016թ. ինն ամիս (ճշտված)</c:v>
                </c:pt>
                <c:pt idx="2">
                  <c:v>2016թ. ինն ամիս (փաստացի)</c:v>
                </c:pt>
              </c:strCache>
            </c:strRef>
          </c:cat>
          <c:val>
            <c:numRef>
              <c:f>Sheet1!$B$6:$D$6</c:f>
              <c:numCache>
                <c:formatCode>#,##0.00_);\(#,##0.00\)</c:formatCode>
                <c:ptCount val="3"/>
                <c:pt idx="0">
                  <c:v>158067387.10000002</c:v>
                </c:pt>
                <c:pt idx="1">
                  <c:v>165475235.97000003</c:v>
                </c:pt>
                <c:pt idx="2">
                  <c:v>144469258.12980011</c:v>
                </c:pt>
              </c:numCache>
            </c:numRef>
          </c:val>
        </c:ser>
        <c:axId val="88185472"/>
        <c:axId val="88195456"/>
      </c:barChart>
      <c:catAx>
        <c:axId val="88185472"/>
        <c:scaling>
          <c:orientation val="minMax"/>
        </c:scaling>
        <c:axPos val="b"/>
        <c:numFmt formatCode="General" sourceLinked="1"/>
        <c:tickLblPos val="nextTo"/>
        <c:crossAx val="88195456"/>
        <c:crosses val="autoZero"/>
        <c:auto val="1"/>
        <c:lblAlgn val="ctr"/>
        <c:lblOffset val="100"/>
      </c:catAx>
      <c:valAx>
        <c:axId val="88195456"/>
        <c:scaling>
          <c:orientation val="minMax"/>
          <c:min val="0"/>
        </c:scaling>
        <c:axPos val="l"/>
        <c:majorGridlines/>
        <c:numFmt formatCode="#,##0.00_);\(#,##0.00\)" sourceLinked="1"/>
        <c:tickLblPos val="nextTo"/>
        <c:crossAx val="881854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hy-AM" sz="1200"/>
              <a:t>ՊԵՏԱԿԱՆ ԲՅՈՒՋԵ</a:t>
            </a:r>
            <a:r>
              <a:rPr lang="en-US" sz="1200"/>
              <a:t>Ի ԵԿԱՄՈՒՏՆԵՐ  (մլրդ դրամ)</a:t>
            </a:r>
            <a:endParaRPr lang="hy-AM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ԸՆԴԱՄԵՆԸ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832.8</c:v>
                </c:pt>
                <c:pt idx="1">
                  <c:v>853.4</c:v>
                </c:pt>
                <c:pt idx="2">
                  <c:v>845.97</c:v>
                </c:pt>
              </c:numCache>
            </c:numRef>
          </c:val>
        </c:ser>
        <c:marker val="1"/>
        <c:axId val="88035328"/>
        <c:axId val="88036864"/>
      </c:lineChart>
      <c:catAx>
        <c:axId val="88035328"/>
        <c:scaling>
          <c:orientation val="minMax"/>
        </c:scaling>
        <c:axPos val="b"/>
        <c:tickLblPos val="nextTo"/>
        <c:crossAx val="88036864"/>
        <c:crosses val="autoZero"/>
        <c:auto val="1"/>
        <c:lblAlgn val="ctr"/>
        <c:lblOffset val="100"/>
      </c:catAx>
      <c:valAx>
        <c:axId val="88036864"/>
        <c:scaling>
          <c:orientation val="minMax"/>
        </c:scaling>
        <c:axPos val="l"/>
        <c:majorGridlines/>
        <c:numFmt formatCode="0.00_);\(0.00\)" sourceLinked="1"/>
        <c:tickLblPos val="nextTo"/>
        <c:crossAx val="8803532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ՊԵՏԱԿԱՆ ԲՅՈՒՋԵԻ ԵԿԱՄՈՒՏՆԵՐ (մլրդ</a:t>
            </a:r>
            <a:r>
              <a:rPr lang="en-US" sz="1200" baseline="0"/>
              <a:t> դրամ</a:t>
            </a:r>
            <a:r>
              <a:rPr lang="en-US" sz="1200"/>
              <a:t>)</a:t>
            </a:r>
          </a:p>
        </c:rich>
      </c:tx>
    </c:title>
    <c:plotArea>
      <c:layout>
        <c:manualLayout>
          <c:layoutTarget val="inner"/>
          <c:xMode val="edge"/>
          <c:yMode val="edge"/>
          <c:x val="0.14003018372703449"/>
          <c:y val="0.16621536891221941"/>
          <c:w val="0.82941426071740931"/>
          <c:h val="0.53310039370078743"/>
        </c:manualLayout>
      </c:layout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ՀԱՐԿԱՅԻՆ ԵԿԱՄՈՒՏՆԵՐ ԵՎ ՊԵՏԱԿԱՆ ՏՈՒՐՔԵՐ</c:v>
                </c:pt>
              </c:strCache>
            </c:strRef>
          </c:tx>
          <c:dLbls>
            <c:dLbl>
              <c:idx val="0"/>
              <c:layout>
                <c:manualLayout>
                  <c:x val="-3.333333333333334E-2"/>
                  <c:y val="-4.6296296296296391E-2"/>
                </c:manualLayout>
              </c:layout>
              <c:showVal val="1"/>
            </c:dLbl>
            <c:dLbl>
              <c:idx val="1"/>
              <c:layout>
                <c:manualLayout>
                  <c:x val="-1.3888888888888919E-2"/>
                  <c:y val="-3.7037037037037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787.3 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778.2</c:v>
                </c:pt>
                <c:pt idx="1">
                  <c:v>787.3</c:v>
                </c:pt>
                <c:pt idx="2">
                  <c:v>787.52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ՊԱՇՏՈՆԱԿԱՆ ԴՐԱՄԱՇՆՈՐՀՆԵՐ</c:v>
                </c:pt>
              </c:strCache>
            </c:strRef>
          </c:tx>
          <c:dLbls>
            <c:dLbl>
              <c:idx val="0"/>
              <c:layout>
                <c:manualLayout>
                  <c:x val="-8.8888888888889128E-2"/>
                  <c:y val="2.777777777777786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2407407407407468E-2"/>
                </c:manualLayout>
              </c:layout>
              <c:showVal val="1"/>
            </c:dLbl>
            <c:dLbl>
              <c:idx val="2"/>
              <c:layout>
                <c:manualLayout>
                  <c:x val="-3.6111111111111163E-2"/>
                  <c:y val="4.629629629629639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0.00_);\(0.00\)</c:formatCode>
                <c:ptCount val="3"/>
                <c:pt idx="0">
                  <c:v>7.3</c:v>
                </c:pt>
                <c:pt idx="1">
                  <c:v>15.1</c:v>
                </c:pt>
                <c:pt idx="2">
                  <c:v>16.579999999999988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ԱՅԼ ԵԿԱՄՈՒՏՆԵՐ</c:v>
                </c:pt>
              </c:strCache>
            </c:strRef>
          </c:tx>
          <c:dLbls>
            <c:dLbl>
              <c:idx val="0"/>
              <c:layout>
                <c:manualLayout>
                  <c:x val="-6.9444663167104112E-2"/>
                  <c:y val="-5.0925925925925923E-2"/>
                </c:manualLayout>
              </c:layout>
              <c:showVal val="1"/>
            </c:dLbl>
            <c:dLbl>
              <c:idx val="1"/>
              <c:layout>
                <c:manualLayout>
                  <c:x val="-2.2222222222222251E-2"/>
                  <c:y val="-4.6296296296296391E-2"/>
                </c:manualLayout>
              </c:layout>
              <c:showVal val="1"/>
            </c:dLbl>
            <c:dLbl>
              <c:idx val="2"/>
              <c:layout>
                <c:manualLayout>
                  <c:x val="-1.1111111111111125E-2"/>
                  <c:y val="-5.555555555555546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0.00_);\(0.00\)</c:formatCode>
                <c:ptCount val="3"/>
                <c:pt idx="0">
                  <c:v>47.3</c:v>
                </c:pt>
                <c:pt idx="1">
                  <c:v>51</c:v>
                </c:pt>
                <c:pt idx="2">
                  <c:v>41.87</c:v>
                </c:pt>
              </c:numCache>
            </c:numRef>
          </c:val>
        </c:ser>
        <c:marker val="1"/>
        <c:axId val="88079744"/>
        <c:axId val="88228992"/>
      </c:lineChart>
      <c:catAx>
        <c:axId val="88079744"/>
        <c:scaling>
          <c:orientation val="minMax"/>
        </c:scaling>
        <c:axPos val="b"/>
        <c:majorTickMark val="none"/>
        <c:tickLblPos val="nextTo"/>
        <c:crossAx val="88228992"/>
        <c:crosses val="autoZero"/>
        <c:auto val="1"/>
        <c:lblAlgn val="ctr"/>
        <c:lblOffset val="100"/>
      </c:catAx>
      <c:valAx>
        <c:axId val="88228992"/>
        <c:scaling>
          <c:orientation val="minMax"/>
        </c:scaling>
        <c:axPos val="l"/>
        <c:majorGridlines/>
        <c:numFmt formatCode="0.00_);\(0.00\)" sourceLinked="1"/>
        <c:majorTickMark val="none"/>
        <c:tickLblPos val="nextTo"/>
        <c:spPr>
          <a:ln w="9525">
            <a:noFill/>
          </a:ln>
        </c:spPr>
        <c:crossAx val="88079744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3.0430446194225767E-2"/>
          <c:y val="0.84190687026741462"/>
          <c:w val="0.94747222222222227"/>
          <c:h val="0.14883382388703031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ՀԱՐԿԱՅԻՆ ԵԿԱՄՈՒՏՆԵՐ (մլրդ</a:t>
            </a:r>
            <a:r>
              <a:rPr lang="en-US" sz="1200" baseline="0"/>
              <a:t> դրամ</a:t>
            </a:r>
            <a:r>
              <a:rPr lang="en-US" sz="1200"/>
              <a:t>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ԱԱՀ</c:v>
                </c:pt>
              </c:strCache>
            </c:strRef>
          </c:tx>
          <c:dLbls>
            <c:dLbl>
              <c:idx val="0"/>
              <c:layout>
                <c:manualLayout>
                  <c:x val="-6.666666666666668E-2"/>
                  <c:y val="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323.8</c:v>
                </c:pt>
                <c:pt idx="1">
                  <c:v>313.39999999999969</c:v>
                </c:pt>
                <c:pt idx="2">
                  <c:v>277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Ակցիզային հարկ</c:v>
                </c:pt>
              </c:strCache>
            </c:strRef>
          </c:tx>
          <c:dLbls>
            <c:dLbl>
              <c:idx val="0"/>
              <c:layout>
                <c:manualLayout>
                  <c:x val="2.7777777777777913E-3"/>
                  <c:y val="3.2407407407407607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3.240740740740748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0.00_);\(0.00\)</c:formatCode>
                <c:ptCount val="3"/>
                <c:pt idx="0">
                  <c:v>34.5</c:v>
                </c:pt>
                <c:pt idx="1">
                  <c:v>35.1</c:v>
                </c:pt>
                <c:pt idx="2">
                  <c:v>41.4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Շահութահարկ</c:v>
                </c:pt>
              </c:strCache>
            </c:strRef>
          </c:tx>
          <c:dLbls>
            <c:dLbl>
              <c:idx val="0"/>
              <c:layout>
                <c:manualLayout>
                  <c:x val="-7.5000000000000039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0.00_);\(0.00\)</c:formatCode>
                <c:ptCount val="3"/>
                <c:pt idx="0">
                  <c:v>88.4</c:v>
                </c:pt>
                <c:pt idx="1">
                  <c:v>79.900000000000006</c:v>
                </c:pt>
                <c:pt idx="2">
                  <c:v>102.8</c:v>
                </c:pt>
              </c:numCache>
            </c:numRef>
          </c:val>
        </c:ser>
        <c:marker val="1"/>
        <c:axId val="88251776"/>
        <c:axId val="88261760"/>
      </c:lineChart>
      <c:catAx>
        <c:axId val="88251776"/>
        <c:scaling>
          <c:orientation val="minMax"/>
        </c:scaling>
        <c:axPos val="b"/>
        <c:majorTickMark val="none"/>
        <c:tickLblPos val="nextTo"/>
        <c:crossAx val="88261760"/>
        <c:crosses val="autoZero"/>
        <c:auto val="1"/>
        <c:lblAlgn val="ctr"/>
        <c:lblOffset val="100"/>
      </c:catAx>
      <c:valAx>
        <c:axId val="88261760"/>
        <c:scaling>
          <c:orientation val="minMax"/>
        </c:scaling>
        <c:axPos val="l"/>
        <c:majorGridlines/>
        <c:numFmt formatCode="0.00_);\(0.00\)" sourceLinked="1"/>
        <c:majorTickMark val="none"/>
        <c:tickLblPos val="nextTo"/>
        <c:spPr>
          <a:ln w="9525">
            <a:noFill/>
          </a:ln>
        </c:spPr>
        <c:crossAx val="88251776"/>
        <c:crosses val="autoZero"/>
        <c:crossBetween val="between"/>
      </c:valAx>
    </c:plotArea>
    <c:legend>
      <c:legendPos val="b"/>
      <c:txPr>
        <a:bodyPr/>
        <a:lstStyle/>
        <a:p>
          <a:pPr>
            <a:defRPr sz="1200" b="1"/>
          </a:pPr>
          <a:endParaRPr lang="en-US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ՀԱՐԿԱՅԻՆ ԵԿԱՄՈՒՏՆԵՐ</a:t>
            </a:r>
            <a:r>
              <a:rPr lang="en-US" sz="1200" baseline="0"/>
              <a:t> /մլրդ  դրամ/</a:t>
            </a:r>
            <a:endParaRPr lang="en-US" sz="1200"/>
          </a:p>
        </c:rich>
      </c:tx>
    </c:title>
    <c:plotArea>
      <c:layout>
        <c:manualLayout>
          <c:layoutTarget val="inner"/>
          <c:xMode val="edge"/>
          <c:yMode val="edge"/>
          <c:x val="0.14003018372703457"/>
          <c:y val="0.16621536891221941"/>
          <c:w val="0.82941426071740909"/>
          <c:h val="0.62222878390201219"/>
        </c:manualLayout>
      </c:layout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Եկամտային հարկ</c:v>
                </c:pt>
              </c:strCache>
            </c:strRef>
          </c:tx>
          <c:dLbls>
            <c:dLbl>
              <c:idx val="0"/>
              <c:layout>
                <c:manualLayout>
                  <c:x val="-6.666666666666668E-2"/>
                  <c:y val="5.0925925925925923E-2"/>
                </c:manualLayout>
              </c:layout>
              <c:showVal val="1"/>
            </c:dLbl>
            <c:dLbl>
              <c:idx val="1"/>
              <c:layout>
                <c:manualLayout>
                  <c:x val="-3.333333333333334E-2"/>
                  <c:y val="6.018518518518514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209.6</c:v>
                </c:pt>
                <c:pt idx="1">
                  <c:v>225.4</c:v>
                </c:pt>
                <c:pt idx="2">
                  <c:v>237.4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Մաքսատուրքեր</c:v>
                </c:pt>
              </c:strCache>
            </c:strRef>
          </c:tx>
          <c:dLbls>
            <c:dLbl>
              <c:idx val="0"/>
              <c:layout>
                <c:manualLayout>
                  <c:x val="-1.3888888888888926E-2"/>
                  <c:y val="-6.9444444444444531E-2"/>
                </c:manualLayout>
              </c:layout>
              <c:showVal val="1"/>
            </c:dLbl>
            <c:dLbl>
              <c:idx val="1"/>
              <c:layout>
                <c:manualLayout>
                  <c:x val="2.7777777777777913E-3"/>
                  <c:y val="-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0.00_);\(0.00\)</c:formatCode>
                <c:ptCount val="3"/>
                <c:pt idx="0">
                  <c:v>36.9</c:v>
                </c:pt>
                <c:pt idx="1">
                  <c:v>46.7</c:v>
                </c:pt>
                <c:pt idx="2">
                  <c:v>40.300000000000004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Հաստատագրված վճարներ</c:v>
                </c:pt>
              </c:strCache>
            </c:strRef>
          </c:tx>
          <c:dLbls>
            <c:dLbl>
              <c:idx val="0"/>
              <c:layout>
                <c:manualLayout>
                  <c:x val="-0.11111111111111113"/>
                  <c:y val="-4.6296296296296424E-3"/>
                </c:manualLayout>
              </c:layout>
              <c:showVal val="1"/>
            </c:dLbl>
            <c:dLbl>
              <c:idx val="1"/>
              <c:layout>
                <c:manualLayout>
                  <c:x val="-8.3333333333333367E-3"/>
                  <c:y val="-4.166666666666676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Sheet1!$B$8:$D$8</c:f>
              <c:numCache>
                <c:formatCode>0.00_);\(0.00\)</c:formatCode>
                <c:ptCount val="3"/>
                <c:pt idx="0">
                  <c:v>4.0999999999999996</c:v>
                </c:pt>
                <c:pt idx="1">
                  <c:v>2.2999999999999998</c:v>
                </c:pt>
                <c:pt idx="2">
                  <c:v>2.4</c:v>
                </c:pt>
              </c:numCache>
            </c:numRef>
          </c:val>
        </c:ser>
        <c:marker val="1"/>
        <c:axId val="88370560"/>
        <c:axId val="88380544"/>
      </c:lineChart>
      <c:catAx>
        <c:axId val="883705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88380544"/>
        <c:crosses val="autoZero"/>
        <c:auto val="1"/>
        <c:lblAlgn val="ctr"/>
        <c:lblOffset val="100"/>
      </c:catAx>
      <c:valAx>
        <c:axId val="88380544"/>
        <c:scaling>
          <c:orientation val="minMax"/>
        </c:scaling>
        <c:axPos val="l"/>
        <c:majorGridlines/>
        <c:numFmt formatCode="0.00_);\(0.00\)" sourceLinked="1"/>
        <c:majorTickMark val="none"/>
        <c:tickLblPos val="nextTo"/>
        <c:spPr>
          <a:ln w="9525">
            <a:noFill/>
          </a:ln>
        </c:spPr>
        <c:crossAx val="88370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819335083114709E-2"/>
          <c:y val="0.87384149897929631"/>
          <c:w val="0.96291688538932629"/>
          <c:h val="9.8380723242927931E-2"/>
        </c:manualLayout>
      </c:layout>
      <c:txPr>
        <a:bodyPr/>
        <a:lstStyle/>
        <a:p>
          <a:pPr>
            <a:defRPr sz="900" b="1"/>
          </a:pPr>
          <a:endParaRPr lang="en-US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ՀԱՐԿԱՅԻՆ ԵԿԱՄՈՒՏՆԵՐ/մլրդ  դրամ/</a:t>
            </a:r>
          </a:p>
        </c:rich>
      </c:tx>
    </c:title>
    <c:plotArea>
      <c:layout>
        <c:manualLayout>
          <c:layoutTarget val="inner"/>
          <c:xMode val="edge"/>
          <c:yMode val="edge"/>
          <c:x val="0.12594663167104142"/>
          <c:y val="0.16621536891221941"/>
          <c:w val="0.84349781277340496"/>
          <c:h val="0.61103856809565449"/>
        </c:manualLayout>
      </c:layout>
      <c:lineChart>
        <c:grouping val="standard"/>
        <c:ser>
          <c:idx val="0"/>
          <c:order val="0"/>
          <c:tx>
            <c:strRef>
              <c:f>Sheet1!$A$6</c:f>
              <c:strCache>
                <c:ptCount val="1"/>
                <c:pt idx="0">
                  <c:v>Բնօգտագործման եվ բնապահպանական վճարներ</c:v>
                </c:pt>
              </c:strCache>
            </c:strRef>
          </c:tx>
          <c:dLbls>
            <c:dLbl>
              <c:idx val="0"/>
              <c:layout>
                <c:manualLayout>
                  <c:x val="2.7777777777777913E-3"/>
                  <c:y val="2.7777777777777891E-2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-1.8518518518518531E-2"/>
                </c:manualLayout>
              </c:layout>
              <c:showVal val="1"/>
            </c:dLbl>
            <c:dLbl>
              <c:idx val="2"/>
              <c:layout>
                <c:manualLayout>
                  <c:x val="-1.0185067526416074E-16"/>
                  <c:y val="2.777777777777789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Sheet1!$B$6:$D$6</c:f>
              <c:numCache>
                <c:formatCode>0.00_);\(0.00\)</c:formatCode>
                <c:ptCount val="3"/>
                <c:pt idx="0">
                  <c:v>20.100000000000001</c:v>
                </c:pt>
                <c:pt idx="1">
                  <c:v>23.4</c:v>
                </c:pt>
                <c:pt idx="2">
                  <c:v>19.5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Շրջանառության հարկ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-1.388888888888892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-8.3333333333334529E-3"/>
                  <c:y val="-2.777777777777789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Sheet1!$B$5:$D$5</c:f>
              <c:strCache>
                <c:ptCount val="3"/>
                <c:pt idx="0">
                  <c:v>2014թ.  (փաստացի)</c:v>
                </c:pt>
                <c:pt idx="1">
                  <c:v>2015թ. (փաստացի)</c:v>
                </c:pt>
                <c:pt idx="2">
                  <c:v>2016թ. (փաստացի)</c:v>
                </c:pt>
              </c:strCache>
            </c:strRef>
          </c:cat>
          <c:val>
            <c:numRef>
              <c:f>Sheet1!$B$7:$D$7</c:f>
              <c:numCache>
                <c:formatCode>0.00_);\(0.00\)</c:formatCode>
                <c:ptCount val="3"/>
                <c:pt idx="0">
                  <c:v>11.8</c:v>
                </c:pt>
                <c:pt idx="1">
                  <c:v>8.2000000000000011</c:v>
                </c:pt>
                <c:pt idx="2">
                  <c:v>10.8</c:v>
                </c:pt>
              </c:numCache>
            </c:numRef>
          </c:val>
        </c:ser>
        <c:marker val="1"/>
        <c:axId val="88406272"/>
        <c:axId val="88432640"/>
      </c:lineChart>
      <c:catAx>
        <c:axId val="884062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88432640"/>
        <c:crosses val="autoZero"/>
        <c:auto val="1"/>
        <c:lblAlgn val="ctr"/>
        <c:lblOffset val="100"/>
      </c:catAx>
      <c:valAx>
        <c:axId val="88432640"/>
        <c:scaling>
          <c:orientation val="minMax"/>
        </c:scaling>
        <c:axPos val="l"/>
        <c:majorGridlines/>
        <c:numFmt formatCode="0.00_);\(0.00\)" sourceLinked="1"/>
        <c:majorTickMark val="none"/>
        <c:tickLblPos val="nextTo"/>
        <c:spPr>
          <a:ln w="9525">
            <a:noFill/>
          </a:ln>
        </c:spPr>
        <c:crossAx val="88406272"/>
        <c:crosses val="autoZero"/>
        <c:crossBetween val="between"/>
      </c:valAx>
    </c:plotArea>
    <c:legend>
      <c:legendPos val="b"/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274B-7781-4B05-A6AD-47C9C11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FinComm Expert2</dc:creator>
  <cp:lastModifiedBy>FinComm Expert2</cp:lastModifiedBy>
  <cp:revision>37</cp:revision>
  <cp:lastPrinted>2016-11-21T12:40:00Z</cp:lastPrinted>
  <dcterms:created xsi:type="dcterms:W3CDTF">2016-11-18T14:45:00Z</dcterms:created>
  <dcterms:modified xsi:type="dcterms:W3CDTF">2016-11-22T06:10:00Z</dcterms:modified>
</cp:coreProperties>
</file>