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A52C30">
        <w:rPr>
          <w:rFonts w:ascii="GHEA Grapalat" w:hAnsi="GHEA Grapalat" w:cs="Sylfaen"/>
          <w:sz w:val="24"/>
          <w:szCs w:val="24"/>
        </w:rPr>
        <w:t>օգոստոս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A52C30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A52C3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9248" cy="2743200"/>
            <wp:effectExtent l="19050" t="0" r="22752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52C3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AB08C3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AB08C3">
        <w:rPr>
          <w:rFonts w:ascii="GHEA Grapalat" w:hAnsi="GHEA Grapalat"/>
          <w:sz w:val="24"/>
          <w:szCs w:val="24"/>
        </w:rPr>
        <w:drawing>
          <wp:inline distT="0" distB="0" distL="0" distR="0">
            <wp:extent cx="4547978" cy="2743200"/>
            <wp:effectExtent l="19050" t="0" r="2402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65BE2" w:rsidRPr="00B65BE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2743200"/>
            <wp:effectExtent l="19050" t="0" r="22644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B41CF7" w:rsidRDefault="00B65BE2" w:rsidP="00B41CF7">
      <w:pPr>
        <w:ind w:left="-360"/>
        <w:rPr>
          <w:rFonts w:ascii="GHEA Grapalat" w:hAnsi="GHEA Grapalat"/>
          <w:sz w:val="24"/>
          <w:szCs w:val="24"/>
        </w:rPr>
      </w:pPr>
      <w:r w:rsidRPr="00B65BE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6489" cy="1975449"/>
            <wp:effectExtent l="19050" t="0" r="26011" b="5751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F124B" w:rsidRPr="006F124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4922" cy="1984075"/>
            <wp:effectExtent l="19050" t="0" r="13778" b="0"/>
            <wp:docPr id="2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6F124B" w:rsidP="00B41CF7">
      <w:pPr>
        <w:ind w:left="-360"/>
        <w:rPr>
          <w:rFonts w:ascii="GHEA Grapalat" w:hAnsi="GHEA Grapalat"/>
          <w:sz w:val="24"/>
          <w:szCs w:val="24"/>
        </w:rPr>
      </w:pPr>
      <w:r w:rsidRPr="006F124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8394" cy="2096219"/>
            <wp:effectExtent l="19050" t="0" r="24106" b="0"/>
            <wp:docPr id="2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A764E" w:rsidRPr="003A764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5557" cy="2096219"/>
            <wp:effectExtent l="19050" t="0" r="13143" b="0"/>
            <wp:docPr id="2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3A764E" w:rsidP="003A764E">
      <w:pPr>
        <w:ind w:left="-360"/>
        <w:rPr>
          <w:rFonts w:ascii="GHEA Grapalat" w:hAnsi="GHEA Grapalat"/>
          <w:sz w:val="24"/>
          <w:szCs w:val="24"/>
        </w:rPr>
      </w:pPr>
      <w:r w:rsidRPr="003A764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8394" cy="2078966"/>
            <wp:effectExtent l="19050" t="0" r="24106" b="0"/>
            <wp:docPr id="2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3A764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4287" cy="2078966"/>
            <wp:effectExtent l="19050" t="0" r="14413" b="0"/>
            <wp:docPr id="2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DF426F" w:rsidP="000359FA">
      <w:pPr>
        <w:ind w:left="-360"/>
        <w:rPr>
          <w:rFonts w:ascii="GHEA Grapalat" w:hAnsi="GHEA Grapalat"/>
          <w:sz w:val="24"/>
          <w:szCs w:val="24"/>
        </w:rPr>
      </w:pPr>
      <w:r w:rsidRPr="00DF426F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8394" cy="2743200"/>
            <wp:effectExtent l="19050" t="0" r="24106" b="0"/>
            <wp:docPr id="2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F426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8791" cy="2743200"/>
            <wp:effectExtent l="19050" t="0" r="19409" b="0"/>
            <wp:docPr id="3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0359FA" w:rsidP="000359FA">
      <w:pPr>
        <w:ind w:left="-360"/>
        <w:rPr>
          <w:rFonts w:ascii="GHEA Grapalat" w:hAnsi="GHEA Grapalat"/>
          <w:sz w:val="24"/>
          <w:szCs w:val="24"/>
        </w:rPr>
      </w:pPr>
      <w:r w:rsidRPr="000359F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6489" cy="2803585"/>
            <wp:effectExtent l="19050" t="0" r="26011" b="0"/>
            <wp:docPr id="3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0359F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8791" cy="2803585"/>
            <wp:effectExtent l="19050" t="0" r="19409" b="0"/>
            <wp:docPr id="3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E66C3C" w:rsidRDefault="00E66C3C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0278D1" w:rsidRDefault="000278D1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0278D1" w:rsidRPr="004A3BA1" w:rsidRDefault="000278D1" w:rsidP="004A3BA1">
      <w:pPr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2017 -2019ԹԹ.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D96B6A" w:rsidP="00EC6568">
      <w:pPr>
        <w:ind w:left="-360"/>
        <w:rPr>
          <w:rFonts w:ascii="GHEA Grapalat" w:hAnsi="GHEA Grapalat"/>
          <w:b/>
          <w:sz w:val="16"/>
          <w:szCs w:val="16"/>
        </w:rPr>
      </w:pPr>
      <w:r w:rsidRPr="00D96B6A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10903" cy="2915728"/>
            <wp:effectExtent l="19050" t="0" r="37297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D96B6A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961674" cy="2915728"/>
            <wp:effectExtent l="19050" t="0" r="10376" b="0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D96B6A" w:rsidP="00EC6568">
      <w:pPr>
        <w:ind w:left="-360"/>
        <w:rPr>
          <w:rFonts w:ascii="GHEA Grapalat" w:hAnsi="GHEA Grapalat"/>
          <w:sz w:val="24"/>
          <w:szCs w:val="24"/>
        </w:rPr>
      </w:pPr>
      <w:r w:rsidRPr="00D96B6A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14713" cy="2803585"/>
            <wp:effectExtent l="19050" t="0" r="14437" b="0"/>
            <wp:docPr id="35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C6568">
        <w:rPr>
          <w:rFonts w:ascii="GHEA Grapalat" w:hAnsi="GHEA Grapalat"/>
          <w:b/>
          <w:sz w:val="16"/>
          <w:szCs w:val="16"/>
        </w:rPr>
        <w:t xml:space="preserve">  </w:t>
      </w:r>
      <w:r w:rsidRPr="00D96B6A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922352" cy="2820838"/>
            <wp:effectExtent l="19050" t="0" r="11598" b="0"/>
            <wp:docPr id="3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EA" w:rsidRDefault="00922CEA" w:rsidP="00AC2D9E">
      <w:pPr>
        <w:spacing w:after="0" w:line="240" w:lineRule="auto"/>
      </w:pPr>
      <w:r>
        <w:separator/>
      </w:r>
    </w:p>
  </w:endnote>
  <w:endnote w:type="continuationSeparator" w:id="1">
    <w:p w:rsidR="00922CEA" w:rsidRDefault="00922CEA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EA" w:rsidRDefault="00922CEA" w:rsidP="00AC2D9E">
      <w:pPr>
        <w:spacing w:after="0" w:line="240" w:lineRule="auto"/>
      </w:pPr>
      <w:r>
        <w:separator/>
      </w:r>
    </w:p>
  </w:footnote>
  <w:footnote w:type="continuationSeparator" w:id="1">
    <w:p w:rsidR="00922CEA" w:rsidRDefault="00922CEA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78D1"/>
    <w:rsid w:val="000359FA"/>
    <w:rsid w:val="00051169"/>
    <w:rsid w:val="00056F88"/>
    <w:rsid w:val="0006240F"/>
    <w:rsid w:val="000675D6"/>
    <w:rsid w:val="00071D1B"/>
    <w:rsid w:val="00074039"/>
    <w:rsid w:val="00090678"/>
    <w:rsid w:val="000C120D"/>
    <w:rsid w:val="000E596E"/>
    <w:rsid w:val="00136864"/>
    <w:rsid w:val="001708FC"/>
    <w:rsid w:val="00187C15"/>
    <w:rsid w:val="001963B2"/>
    <w:rsid w:val="0019787B"/>
    <w:rsid w:val="001B01D5"/>
    <w:rsid w:val="001E1A21"/>
    <w:rsid w:val="001E20E6"/>
    <w:rsid w:val="00262AB4"/>
    <w:rsid w:val="00270CA5"/>
    <w:rsid w:val="00270D3C"/>
    <w:rsid w:val="00274F9A"/>
    <w:rsid w:val="002A07FA"/>
    <w:rsid w:val="002A0970"/>
    <w:rsid w:val="002A3D43"/>
    <w:rsid w:val="002E1BC5"/>
    <w:rsid w:val="002E1C74"/>
    <w:rsid w:val="002E2575"/>
    <w:rsid w:val="002F2A59"/>
    <w:rsid w:val="00304E24"/>
    <w:rsid w:val="00314083"/>
    <w:rsid w:val="00316E05"/>
    <w:rsid w:val="00356A9D"/>
    <w:rsid w:val="003670A8"/>
    <w:rsid w:val="003965AE"/>
    <w:rsid w:val="003A764E"/>
    <w:rsid w:val="003D3812"/>
    <w:rsid w:val="003D5370"/>
    <w:rsid w:val="003F22F7"/>
    <w:rsid w:val="00421A4E"/>
    <w:rsid w:val="00427116"/>
    <w:rsid w:val="004335CB"/>
    <w:rsid w:val="00434F7E"/>
    <w:rsid w:val="00440FAF"/>
    <w:rsid w:val="00447E6B"/>
    <w:rsid w:val="00455B1D"/>
    <w:rsid w:val="00461DE6"/>
    <w:rsid w:val="00472BF5"/>
    <w:rsid w:val="00495AFC"/>
    <w:rsid w:val="004A3BA1"/>
    <w:rsid w:val="004B3A6B"/>
    <w:rsid w:val="004C147B"/>
    <w:rsid w:val="004E7F0D"/>
    <w:rsid w:val="00513FFD"/>
    <w:rsid w:val="0052482E"/>
    <w:rsid w:val="005403D8"/>
    <w:rsid w:val="00546C4B"/>
    <w:rsid w:val="005646F8"/>
    <w:rsid w:val="0056730A"/>
    <w:rsid w:val="005748EC"/>
    <w:rsid w:val="005A4CB8"/>
    <w:rsid w:val="005A6095"/>
    <w:rsid w:val="005B1A4E"/>
    <w:rsid w:val="005C63AF"/>
    <w:rsid w:val="005E72C4"/>
    <w:rsid w:val="00600125"/>
    <w:rsid w:val="00605A49"/>
    <w:rsid w:val="006204FF"/>
    <w:rsid w:val="00672C70"/>
    <w:rsid w:val="00675A12"/>
    <w:rsid w:val="0068775B"/>
    <w:rsid w:val="00697E19"/>
    <w:rsid w:val="006A61EA"/>
    <w:rsid w:val="006B14A0"/>
    <w:rsid w:val="006F124B"/>
    <w:rsid w:val="006F322F"/>
    <w:rsid w:val="00746DA0"/>
    <w:rsid w:val="00753EBA"/>
    <w:rsid w:val="00795E20"/>
    <w:rsid w:val="007A1637"/>
    <w:rsid w:val="007A7000"/>
    <w:rsid w:val="007B0C3C"/>
    <w:rsid w:val="007B5262"/>
    <w:rsid w:val="007C52CA"/>
    <w:rsid w:val="007D095A"/>
    <w:rsid w:val="007D6D40"/>
    <w:rsid w:val="007E457E"/>
    <w:rsid w:val="0081180D"/>
    <w:rsid w:val="00811EF3"/>
    <w:rsid w:val="00831BD9"/>
    <w:rsid w:val="00841547"/>
    <w:rsid w:val="00867138"/>
    <w:rsid w:val="008814D2"/>
    <w:rsid w:val="008873A9"/>
    <w:rsid w:val="008A5AC2"/>
    <w:rsid w:val="008C2FD5"/>
    <w:rsid w:val="008C5278"/>
    <w:rsid w:val="008D75B0"/>
    <w:rsid w:val="008D7BF1"/>
    <w:rsid w:val="008F18E7"/>
    <w:rsid w:val="00905766"/>
    <w:rsid w:val="00922CEA"/>
    <w:rsid w:val="00923985"/>
    <w:rsid w:val="00933D79"/>
    <w:rsid w:val="009341DC"/>
    <w:rsid w:val="00934D90"/>
    <w:rsid w:val="00941169"/>
    <w:rsid w:val="009B57D4"/>
    <w:rsid w:val="009C77A7"/>
    <w:rsid w:val="00A124D7"/>
    <w:rsid w:val="00A15EBC"/>
    <w:rsid w:val="00A23569"/>
    <w:rsid w:val="00A36CD4"/>
    <w:rsid w:val="00A52C30"/>
    <w:rsid w:val="00A71643"/>
    <w:rsid w:val="00A80F60"/>
    <w:rsid w:val="00A868C8"/>
    <w:rsid w:val="00AA353B"/>
    <w:rsid w:val="00AB08C3"/>
    <w:rsid w:val="00AC2D9E"/>
    <w:rsid w:val="00AD16F7"/>
    <w:rsid w:val="00B00B2A"/>
    <w:rsid w:val="00B3731F"/>
    <w:rsid w:val="00B41CF7"/>
    <w:rsid w:val="00B55DF2"/>
    <w:rsid w:val="00B65BE2"/>
    <w:rsid w:val="00BC3A20"/>
    <w:rsid w:val="00BC74FB"/>
    <w:rsid w:val="00BF08B3"/>
    <w:rsid w:val="00C017E6"/>
    <w:rsid w:val="00C4717D"/>
    <w:rsid w:val="00C53C1D"/>
    <w:rsid w:val="00CA5AE7"/>
    <w:rsid w:val="00D47547"/>
    <w:rsid w:val="00D50656"/>
    <w:rsid w:val="00D52BB4"/>
    <w:rsid w:val="00D86D80"/>
    <w:rsid w:val="00D9524C"/>
    <w:rsid w:val="00D96B6A"/>
    <w:rsid w:val="00D97EE8"/>
    <w:rsid w:val="00DB2095"/>
    <w:rsid w:val="00DB46EB"/>
    <w:rsid w:val="00DC348E"/>
    <w:rsid w:val="00DF426F"/>
    <w:rsid w:val="00E0173A"/>
    <w:rsid w:val="00E070E3"/>
    <w:rsid w:val="00E179BB"/>
    <w:rsid w:val="00E2636E"/>
    <w:rsid w:val="00E305FB"/>
    <w:rsid w:val="00E311F1"/>
    <w:rsid w:val="00E54FD7"/>
    <w:rsid w:val="00E572E5"/>
    <w:rsid w:val="00E611FC"/>
    <w:rsid w:val="00E66C3C"/>
    <w:rsid w:val="00E7138C"/>
    <w:rsid w:val="00EA3EF3"/>
    <w:rsid w:val="00EB4522"/>
    <w:rsid w:val="00EB69F5"/>
    <w:rsid w:val="00EC11CC"/>
    <w:rsid w:val="00EC6568"/>
    <w:rsid w:val="00ED1A35"/>
    <w:rsid w:val="00EF4C8F"/>
    <w:rsid w:val="00F13A2F"/>
    <w:rsid w:val="00F178DE"/>
    <w:rsid w:val="00F26FD3"/>
    <w:rsid w:val="00F40D2C"/>
    <w:rsid w:val="00F46971"/>
    <w:rsid w:val="00F620C8"/>
    <w:rsid w:val="00F64F30"/>
    <w:rsid w:val="00F87A3E"/>
    <w:rsid w:val="00FB6552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June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June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June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Jun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Jun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Jun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65;&#1379;&#1400;&#1405;&#1407;&#1400;&#1405;2017\Book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2014-2017 թթ. /օգոստոս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076984152106019"/>
          <c:y val="0.25856481481481497"/>
          <c:w val="0.57973735439351792"/>
          <c:h val="0.62524715660542485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5375094960749567E-2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8.3750105511944062E-2"/>
                  <c:y val="-6.0185185185185161E-2"/>
                </c:manualLayout>
              </c:layout>
              <c:showVal val="1"/>
            </c:dLbl>
            <c:dLbl>
              <c:idx val="2"/>
              <c:layout>
                <c:manualLayout>
                  <c:x val="-7.5375094960749595E-2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8.0958435328212563E-2"/>
                  <c:y val="-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5.3041733490897809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1847.8937195587598</c:v>
                </c:pt>
                <c:pt idx="1">
                  <c:v>2298.6093032860913</c:v>
                </c:pt>
                <c:pt idx="2">
                  <c:v>2606.3396913235201</c:v>
                </c:pt>
                <c:pt idx="3">
                  <c:v>2875.61733119578</c:v>
                </c:pt>
                <c:pt idx="4">
                  <c:v>2994.4769316941902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-1.3958350918657334E-2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2.2333361469851754E-2"/>
                  <c:y val="3.2407407407407433E-2"/>
                </c:manualLayout>
              </c:layout>
              <c:showVal val="1"/>
            </c:dLbl>
            <c:dLbl>
              <c:idx val="3"/>
              <c:layout>
                <c:manualLayout>
                  <c:x val="-4.4666722939703488E-2"/>
                  <c:y val="5.092592592592593E-2"/>
                </c:manualLayout>
              </c:layout>
              <c:showVal val="1"/>
            </c:dLbl>
            <c:dLbl>
              <c:idx val="4"/>
              <c:layout>
                <c:manualLayout>
                  <c:x val="-1.1166680734925861E-2"/>
                  <c:y val="9.2592592592592709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Sheet1!$C$5:$G$5</c:f>
              <c:numCache>
                <c:formatCode>#,##0.0;[Red]#,##0.0</c:formatCode>
                <c:ptCount val="5"/>
                <c:pt idx="0">
                  <c:v>1657.8861573621407</c:v>
                </c:pt>
                <c:pt idx="1">
                  <c:v>2067.61666365254</c:v>
                </c:pt>
                <c:pt idx="2">
                  <c:v>2368.1452699671586</c:v>
                </c:pt>
                <c:pt idx="3" formatCode="#,##0.0">
                  <c:v>2631.3899476757501</c:v>
                </c:pt>
                <c:pt idx="4">
                  <c:v>2719.9420418753712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3.3500042204777591E-2"/>
                  <c:y val="-2.7777777777777814E-2"/>
                </c:manualLayout>
              </c:layout>
              <c:showVal val="1"/>
            </c:dLbl>
            <c:dLbl>
              <c:idx val="1"/>
              <c:layout>
                <c:manualLayout>
                  <c:x val="-2.5125031653583194E-2"/>
                  <c:y val="-2.7777777777777814E-2"/>
                </c:manualLayout>
              </c:layout>
              <c:showVal val="1"/>
            </c:dLbl>
            <c:dLbl>
              <c:idx val="2"/>
              <c:layout>
                <c:manualLayout>
                  <c:x val="-3.629171238850909E-2"/>
                  <c:y val="-6.4814814814814936E-2"/>
                </c:manualLayout>
              </c:layout>
              <c:showVal val="1"/>
            </c:dLbl>
            <c:dLbl>
              <c:idx val="3"/>
              <c:layout>
                <c:manualLayout>
                  <c:x val="-3.9083382572240498E-2"/>
                  <c:y val="-6.4814814814814867E-2"/>
                </c:manualLayout>
              </c:layout>
              <c:showVal val="1"/>
            </c:dLbl>
            <c:dLbl>
              <c:idx val="4"/>
              <c:layout>
                <c:manualLayout>
                  <c:x val="-3.3500042204777591E-2"/>
                  <c:y val="-6.481481481481486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Sheet1!$C$6:$G$6</c:f>
              <c:numCache>
                <c:formatCode>0.0;[Red]0.0</c:formatCode>
                <c:ptCount val="5"/>
                <c:pt idx="0" formatCode="#,##0.0;[Red]#,##0.0">
                  <c:v>190.00756219661992</c:v>
                </c:pt>
                <c:pt idx="1">
                  <c:v>230.992639633556</c:v>
                </c:pt>
                <c:pt idx="2">
                  <c:v>238.19442135635799</c:v>
                </c:pt>
                <c:pt idx="3" formatCode="0.0">
                  <c:v>244.22738352002699</c:v>
                </c:pt>
                <c:pt idx="4">
                  <c:v>274.53488981882202</c:v>
                </c:pt>
              </c:numCache>
            </c:numRef>
          </c:val>
        </c:ser>
        <c:dLbls>
          <c:showVal val="1"/>
        </c:dLbls>
        <c:marker val="1"/>
        <c:axId val="81966976"/>
        <c:axId val="82186624"/>
      </c:lineChart>
      <c:catAx>
        <c:axId val="81966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186624"/>
        <c:crosses val="autoZero"/>
        <c:auto val="1"/>
        <c:lblAlgn val="ctr"/>
        <c:lblOffset val="100"/>
      </c:catAx>
      <c:valAx>
        <c:axId val="8218662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196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07250604935165"/>
          <c:y val="0.26910214348206485"/>
          <c:w val="0.32313582376691707"/>
          <c:h val="0.6092490522018089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hy-AM" sz="900">
                <a:latin typeface="GHEA Grapalat" pitchFamily="50" charset="0"/>
              </a:rPr>
              <a:t>Պետական բյուջեի պակասուրդի ֆինանսավորումը </a:t>
            </a:r>
            <a:r>
              <a:rPr lang="en-US" sz="900">
                <a:latin typeface="GHEA Grapalat" pitchFamily="50" charset="0"/>
              </a:rPr>
              <a:t>ներքին և արտաքին </a:t>
            </a:r>
            <a:r>
              <a:rPr lang="hy-AM" sz="900">
                <a:latin typeface="GHEA Grapalat" pitchFamily="50" charset="0"/>
              </a:rPr>
              <a:t>փոխառու զուտ միջոցների հաշվին</a:t>
            </a:r>
            <a:r>
              <a:rPr lang="en-US" sz="900">
                <a:latin typeface="GHEA Grapalat" pitchFamily="50" charset="0"/>
              </a:rPr>
              <a:t>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0868824721100752"/>
          <c:w val="0.9972563029957493"/>
          <c:h val="0.63682235441571799"/>
        </c:manualLayout>
      </c:layout>
      <c:barChart>
        <c:barDir val="col"/>
        <c:grouping val="stacked"/>
        <c:ser>
          <c:idx val="0"/>
          <c:order val="0"/>
          <c:tx>
            <c:strRef>
              <c:f>Sheet1!$B$117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dLbl>
              <c:idx val="0"/>
              <c:layout>
                <c:manualLayout>
                  <c:x val="-2.7436970042501408E-3"/>
                  <c:y val="-2.35546366206483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Sheet1!$C$116:$E$116</c:f>
              <c:strCache>
                <c:ptCount val="3"/>
                <c:pt idx="0">
                  <c:v>01.01.2015-31.08.2015</c:v>
                </c:pt>
                <c:pt idx="1">
                  <c:v>01.01.2016-31.08.2016</c:v>
                </c:pt>
                <c:pt idx="2">
                  <c:v>01.01.2017-31.08.2017</c:v>
                </c:pt>
              </c:strCache>
            </c:strRef>
          </c:cat>
          <c:val>
            <c:numRef>
              <c:f>Sheet1!$C$117:$E$117</c:f>
              <c:numCache>
                <c:formatCode>0.00</c:formatCode>
                <c:ptCount val="3"/>
                <c:pt idx="0">
                  <c:v>-4.01</c:v>
                </c:pt>
                <c:pt idx="1">
                  <c:v>78</c:v>
                </c:pt>
                <c:pt idx="2">
                  <c:v>30.852728361899999</c:v>
                </c:pt>
              </c:numCache>
            </c:numRef>
          </c:val>
        </c:ser>
        <c:ser>
          <c:idx val="1"/>
          <c:order val="1"/>
          <c:tx>
            <c:strRef>
              <c:f>Sheet1!$B$118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Sheet1!$C$116:$E$116</c:f>
              <c:strCache>
                <c:ptCount val="3"/>
                <c:pt idx="0">
                  <c:v>01.01.2015-31.08.2015</c:v>
                </c:pt>
                <c:pt idx="1">
                  <c:v>01.01.2016-31.08.2016</c:v>
                </c:pt>
                <c:pt idx="2">
                  <c:v>01.01.2017-31.08.2017</c:v>
                </c:pt>
              </c:strCache>
            </c:strRef>
          </c:cat>
          <c:val>
            <c:numRef>
              <c:f>Sheet1!$C$118:$E$118</c:f>
              <c:numCache>
                <c:formatCode>0.00</c:formatCode>
                <c:ptCount val="3"/>
                <c:pt idx="0">
                  <c:v>161.80000000000001</c:v>
                </c:pt>
                <c:pt idx="1">
                  <c:v>55.8</c:v>
                </c:pt>
                <c:pt idx="2">
                  <c:v>12.213485614573305</c:v>
                </c:pt>
              </c:numCache>
            </c:numRef>
          </c:val>
        </c:ser>
        <c:dLbls>
          <c:showVal val="1"/>
        </c:dLbls>
        <c:gapWidth val="95"/>
        <c:overlap val="100"/>
        <c:axId val="116449280"/>
        <c:axId val="116450816"/>
      </c:barChart>
      <c:catAx>
        <c:axId val="116449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6450816"/>
        <c:crosses val="autoZero"/>
        <c:auto val="1"/>
        <c:lblAlgn val="ctr"/>
        <c:lblOffset val="100"/>
      </c:catAx>
      <c:valAx>
        <c:axId val="116450816"/>
        <c:scaling>
          <c:orientation val="minMax"/>
        </c:scaling>
        <c:delete val="1"/>
        <c:axPos val="l"/>
        <c:numFmt formatCode="0.00" sourceLinked="1"/>
        <c:tickLblPos val="nextTo"/>
        <c:crossAx val="116449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18014488016418"/>
          <c:y val="0.21730007794665962"/>
          <c:w val="0.65639688635758286"/>
          <c:h val="9.1388169264347632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/>
              <a:t>ՀՀ կառավարության կողմից արտաքին վարկերի ստացումը և սպասարկումը, մլն ԱՄՆ դոլար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1.0720932028868858E-2"/>
          <c:y val="0.25193861184018662"/>
          <c:w val="0.98927906797113119"/>
          <c:h val="0.63613261883931171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հունվար-օգոստոս</c:v>
                </c:pt>
                <c:pt idx="1">
                  <c:v>01.01.2016 - 31.08.2016</c:v>
                </c:pt>
                <c:pt idx="2">
                  <c:v>01.01.2017 - 31.08.2017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 formatCode="General">
                  <c:v>27.3</c:v>
                </c:pt>
                <c:pt idx="1">
                  <c:v>30.9</c:v>
                </c:pt>
                <c:pt idx="2">
                  <c:v>38.748430682773211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հունվար-օգոստոս</c:v>
                </c:pt>
                <c:pt idx="1">
                  <c:v>01.01.2016 - 31.08.2016</c:v>
                </c:pt>
                <c:pt idx="2">
                  <c:v>01.01.2017 - 31.08.2017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 formatCode="0.0">
                  <c:v>36</c:v>
                </c:pt>
                <c:pt idx="1">
                  <c:v>45.37</c:v>
                </c:pt>
                <c:pt idx="2" formatCode="0.0">
                  <c:v>60.365955020260401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հունվար-օգոստոս</c:v>
                </c:pt>
                <c:pt idx="1">
                  <c:v>01.01.2016 - 31.08.2016</c:v>
                </c:pt>
                <c:pt idx="2">
                  <c:v>01.01.2017 - 31.08.2017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 formatCode="General">
                  <c:v>86.5</c:v>
                </c:pt>
                <c:pt idx="1">
                  <c:v>161.26999999999998</c:v>
                </c:pt>
                <c:pt idx="2">
                  <c:v>84.961244913000044</c:v>
                </c:pt>
              </c:numCache>
            </c:numRef>
          </c:val>
        </c:ser>
        <c:dLbls>
          <c:showVal val="1"/>
        </c:dLbls>
        <c:overlap val="-25"/>
        <c:axId val="116825088"/>
        <c:axId val="120107392"/>
      </c:barChart>
      <c:catAx>
        <c:axId val="116825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0107392"/>
        <c:crosses val="autoZero"/>
        <c:auto val="1"/>
        <c:lblAlgn val="ctr"/>
        <c:lblOffset val="100"/>
      </c:catAx>
      <c:valAx>
        <c:axId val="120107392"/>
        <c:scaling>
          <c:orientation val="minMax"/>
        </c:scaling>
        <c:delete val="1"/>
        <c:axPos val="l"/>
        <c:numFmt formatCode="General" sourceLinked="1"/>
        <c:tickLblPos val="nextTo"/>
        <c:crossAx val="116825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63312590722E-2"/>
          <c:y val="0.16620370370370369"/>
          <c:w val="0.89999987337481935"/>
          <c:h val="7.1846019247594053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/մլն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974788017000558E-2"/>
          <c:y val="0.21976268591426079"/>
          <c:w val="0.98902521198299942"/>
          <c:h val="0.66236694371536842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800" b="1">
                        <a:latin typeface="GHEA Grapalat" pitchFamily="50" charset="0"/>
                      </a:rPr>
                      <a:t>58.0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հունվար-օգոստոս</c:v>
                </c:pt>
                <c:pt idx="1">
                  <c:v>01.01.2016 - 31.08.2016</c:v>
                </c:pt>
                <c:pt idx="2">
                  <c:v>01.01.2017 - 31.08.2017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 formatCode="General">
                  <c:v>63.3</c:v>
                </c:pt>
                <c:pt idx="1">
                  <c:v>76.3</c:v>
                </c:pt>
                <c:pt idx="2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հունվար-օգոստոս</c:v>
                </c:pt>
                <c:pt idx="1">
                  <c:v>01.01.2016 - 31.08.2016</c:v>
                </c:pt>
                <c:pt idx="2">
                  <c:v>01.01.2017 - 31.08.2017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 formatCode="General">
                  <c:v>86.5</c:v>
                </c:pt>
                <c:pt idx="1">
                  <c:v>161.26999999999998</c:v>
                </c:pt>
                <c:pt idx="2">
                  <c:v>84.961244913000044</c:v>
                </c:pt>
              </c:numCache>
            </c:numRef>
          </c:val>
        </c:ser>
        <c:dLbls>
          <c:showVal val="1"/>
        </c:dLbls>
        <c:overlap val="-25"/>
        <c:axId val="38868864"/>
        <c:axId val="38870400"/>
      </c:barChart>
      <c:catAx>
        <c:axId val="38868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38870400"/>
        <c:crosses val="autoZero"/>
        <c:auto val="1"/>
        <c:lblAlgn val="ctr"/>
        <c:lblOffset val="100"/>
      </c:catAx>
      <c:valAx>
        <c:axId val="38870400"/>
        <c:scaling>
          <c:orientation val="minMax"/>
        </c:scaling>
        <c:delete val="1"/>
        <c:axPos val="l"/>
        <c:numFmt formatCode="General" sourceLinked="1"/>
        <c:tickLblPos val="nextTo"/>
        <c:crossAx val="38868864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556743613254455"/>
          <c:y val="0.15075555048268566"/>
          <c:w val="0.88102600892770977"/>
          <c:h val="0.72485300071158931"/>
        </c:manualLayout>
      </c:layout>
      <c:lineChart>
        <c:grouping val="standard"/>
        <c:ser>
          <c:idx val="0"/>
          <c:order val="0"/>
          <c:tx>
            <c:strRef>
              <c:f>Sheet1!$B$197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0.10188981754206536"/>
                  <c:y val="-4.5299143774845389E-2"/>
                </c:manualLayout>
              </c:layout>
              <c:showVal val="1"/>
            </c:dLbl>
            <c:dLbl>
              <c:idx val="1"/>
              <c:layout>
                <c:manualLayout>
                  <c:x val="-0.10457112853001453"/>
                  <c:y val="-3.6239315019876421E-2"/>
                </c:manualLayout>
              </c:layout>
              <c:showVal val="1"/>
            </c:dLbl>
            <c:dLbl>
              <c:idx val="2"/>
              <c:layout>
                <c:manualLayout>
                  <c:x val="-8.8483262602319993E-2"/>
                  <c:y val="-3.6239315019876386E-2"/>
                </c:manualLayout>
              </c:layout>
              <c:showVal val="1"/>
            </c:dLbl>
            <c:dLbl>
              <c:idx val="3"/>
              <c:layout>
                <c:manualLayout>
                  <c:x val="-9.3845884578218158E-2"/>
                  <c:y val="-4.529914377484538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Sheet1!$C$197:$F$197</c:f>
              <c:numCache>
                <c:formatCode>#,##0.0_);\(#,##0.0\)</c:formatCode>
                <c:ptCount val="4"/>
                <c:pt idx="0">
                  <c:v>294.84266700000018</c:v>
                </c:pt>
                <c:pt idx="1">
                  <c:v>413.48102299999977</c:v>
                </c:pt>
                <c:pt idx="2">
                  <c:v>508.3332689999998</c:v>
                </c:pt>
                <c:pt idx="3">
                  <c:v>535.51749400000006</c:v>
                </c:pt>
              </c:numCache>
            </c:numRef>
          </c:val>
        </c:ser>
        <c:dLbls>
          <c:showVal val="1"/>
        </c:dLbls>
        <c:marker val="1"/>
        <c:axId val="38899072"/>
        <c:axId val="38904960"/>
      </c:lineChart>
      <c:catAx>
        <c:axId val="38899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38904960"/>
        <c:crosses val="autoZero"/>
        <c:auto val="1"/>
        <c:lblAlgn val="ctr"/>
        <c:lblOffset val="100"/>
      </c:catAx>
      <c:valAx>
        <c:axId val="38904960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38899072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8.4391583028916195E-2"/>
          <c:y val="0.18373332715077312"/>
          <c:w val="0.91560841697108453"/>
          <c:h val="0.69640513842098639"/>
        </c:manualLayout>
      </c:layout>
      <c:lineChart>
        <c:grouping val="standard"/>
        <c:ser>
          <c:idx val="0"/>
          <c:order val="0"/>
          <c:tx>
            <c:strRef>
              <c:f>Sheet1!$B$216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7.9567213123254044E-2"/>
                  <c:y val="-5.4358972529814503E-2"/>
                </c:manualLayout>
              </c:layout>
              <c:showVal val="1"/>
            </c:dLbl>
            <c:dLbl>
              <c:idx val="1"/>
              <c:layout>
                <c:manualLayout>
                  <c:x val="-9.0542001140254597E-2"/>
                  <c:y val="-3.6239315019876386E-2"/>
                </c:manualLayout>
              </c:layout>
              <c:showVal val="1"/>
            </c:dLbl>
            <c:dLbl>
              <c:idx val="2"/>
              <c:layout>
                <c:manualLayout>
                  <c:x val="-2.7436970042501408E-3"/>
                  <c:y val="1.3589743132453626E-2"/>
                </c:manualLayout>
              </c:layout>
              <c:showVal val="1"/>
            </c:dLbl>
            <c:dLbl>
              <c:idx val="3"/>
              <c:layout>
                <c:manualLayout>
                  <c:x val="-6.5848728102003304E-2"/>
                  <c:y val="-5.43589725298145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Sheet1!$C$215:$F$215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Sheet1!$C$216:$F$216</c:f>
              <c:numCache>
                <c:formatCode>0</c:formatCode>
                <c:ptCount val="4"/>
                <c:pt idx="0">
                  <c:v>1876.10255739886</c:v>
                </c:pt>
                <c:pt idx="1">
                  <c:v>2066.7845648577686</c:v>
                </c:pt>
                <c:pt idx="2">
                  <c:v>2208.3267577672555</c:v>
                </c:pt>
                <c:pt idx="3">
                  <c:v>2875.2796390830899</c:v>
                </c:pt>
              </c:numCache>
            </c:numRef>
          </c:val>
        </c:ser>
        <c:dLbls>
          <c:showVal val="1"/>
        </c:dLbls>
        <c:marker val="1"/>
        <c:axId val="38732544"/>
        <c:axId val="38734080"/>
      </c:lineChart>
      <c:catAx>
        <c:axId val="3873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38734080"/>
        <c:crosses val="autoZero"/>
        <c:auto val="1"/>
        <c:lblAlgn val="ctr"/>
        <c:lblOffset val="100"/>
      </c:catAx>
      <c:valAx>
        <c:axId val="387340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8732544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կառավարության պարտքի կառուցվածքն ըստ տոկոսադրույքի, %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314270328393385"/>
          <c:y val="0.19480351414406533"/>
          <c:w val="0.62741267816737845"/>
          <c:h val="0.59995102423820068"/>
        </c:manualLayout>
      </c:layout>
      <c:barChart>
        <c:barDir val="col"/>
        <c:grouping val="stacked"/>
        <c:ser>
          <c:idx val="0"/>
          <c:order val="0"/>
          <c:tx>
            <c:strRef>
              <c:f>Sheet1!$B$48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showVal val="1"/>
          </c:dLbls>
          <c:cat>
            <c:strRef>
              <c:f>Sheet1!$C$47:$F$47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Sheet1!$C$48:$F$48</c:f>
              <c:numCache>
                <c:formatCode>#,##0.0;[Red]#,##0.0</c:formatCode>
                <c:ptCount val="4"/>
                <c:pt idx="0">
                  <c:v>10.765512294871606</c:v>
                </c:pt>
                <c:pt idx="1">
                  <c:v>11.4498521785275</c:v>
                </c:pt>
                <c:pt idx="2" formatCode="0.0">
                  <c:v>12.480910826342599</c:v>
                </c:pt>
                <c:pt idx="3">
                  <c:v>12.451874693030399</c:v>
                </c:pt>
              </c:numCache>
            </c:numRef>
          </c:val>
        </c:ser>
        <c:ser>
          <c:idx val="1"/>
          <c:order val="1"/>
          <c:tx>
            <c:strRef>
              <c:f>Sheet1!$B$49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showVal val="1"/>
          </c:dLbls>
          <c:cat>
            <c:strRef>
              <c:f>Sheet1!$C$47:$F$47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Sheet1!$C$49:$F$49</c:f>
              <c:numCache>
                <c:formatCode>0.0</c:formatCode>
                <c:ptCount val="4"/>
                <c:pt idx="0">
                  <c:v>89.234487705128402</c:v>
                </c:pt>
                <c:pt idx="1">
                  <c:v>88.550147821472478</c:v>
                </c:pt>
                <c:pt idx="2">
                  <c:v>87.519089173657378</c:v>
                </c:pt>
                <c:pt idx="3">
                  <c:v>87.548125306969581</c:v>
                </c:pt>
              </c:numCache>
            </c:numRef>
          </c:val>
        </c:ser>
        <c:gapWidth val="75"/>
        <c:overlap val="100"/>
        <c:axId val="38755328"/>
        <c:axId val="38789888"/>
      </c:barChart>
      <c:catAx>
        <c:axId val="38755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38789888"/>
        <c:crosses val="autoZero"/>
        <c:auto val="1"/>
        <c:lblAlgn val="ctr"/>
        <c:lblOffset val="100"/>
      </c:catAx>
      <c:valAx>
        <c:axId val="3878988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38755328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8.4495273167886562E-2"/>
          <c:y val="0.19082203266258385"/>
          <c:w val="0.57970314051265759"/>
          <c:h val="0.7065084572761748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Sheet1!$C$3:$F$3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Sheet1!$C$4:$F$4</c:f>
              <c:numCache>
                <c:formatCode>0.0</c:formatCode>
                <c:ptCount val="4"/>
                <c:pt idx="0">
                  <c:v>9.5602779616559879</c:v>
                </c:pt>
                <c:pt idx="1">
                  <c:v>9.2866130955742907</c:v>
                </c:pt>
                <c:pt idx="2">
                  <c:v>9.2252685835534187</c:v>
                </c:pt>
                <c:pt idx="3">
                  <c:v>9.1706812973716954</c:v>
                </c:pt>
              </c:numCache>
            </c:numRef>
          </c:val>
        </c:ser>
        <c:gapWidth val="75"/>
        <c:overlap val="40"/>
        <c:axId val="117216000"/>
        <c:axId val="117217536"/>
      </c:barChart>
      <c:catAx>
        <c:axId val="117216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7217536"/>
        <c:crosses val="autoZero"/>
        <c:auto val="1"/>
        <c:lblAlgn val="ctr"/>
        <c:lblOffset val="100"/>
      </c:catAx>
      <c:valAx>
        <c:axId val="117217536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900">
                <a:latin typeface="GHEA Grapalat" pitchFamily="50" charset="0"/>
              </a:defRPr>
            </a:pPr>
            <a:endParaRPr lang="en-US"/>
          </a:p>
        </c:txPr>
        <c:crossAx val="11721600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9.1502187226596671E-2"/>
          <c:y val="0.21501166520851545"/>
          <c:w val="0.71351349477204717"/>
          <c:h val="0.66050253514696333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կշիռը, %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Sheet1!$C$25:$D$25</c:f>
              <c:strCache>
                <c:ptCount val="2"/>
                <c:pt idx="0">
                  <c:v>31.12.2016</c:v>
                </c:pt>
                <c:pt idx="1">
                  <c:v>31.08.2017</c:v>
                </c:pt>
              </c:strCache>
            </c:strRef>
          </c:cat>
          <c:val>
            <c:numRef>
              <c:f>Sheet1!$C$26:$D$26</c:f>
              <c:numCache>
                <c:formatCode>0.0</c:formatCode>
                <c:ptCount val="2"/>
                <c:pt idx="0">
                  <c:v>6.1692064844979599</c:v>
                </c:pt>
                <c:pt idx="1">
                  <c:v>5.5821613555773704</c:v>
                </c:pt>
              </c:numCache>
            </c:numRef>
          </c:val>
        </c:ser>
        <c:gapWidth val="75"/>
        <c:overlap val="40"/>
        <c:axId val="117241728"/>
        <c:axId val="117243264"/>
      </c:barChart>
      <c:catAx>
        <c:axId val="117241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7243264"/>
        <c:crosses val="autoZero"/>
        <c:auto val="1"/>
        <c:lblAlgn val="ctr"/>
        <c:lblOffset val="100"/>
      </c:catAx>
      <c:valAx>
        <c:axId val="117243264"/>
        <c:scaling>
          <c:orientation val="minMax"/>
          <c:max val="20"/>
          <c:min val="2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1724172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Կառավարության ներքին  և արտաքին պարտքի կշիռները,</a:t>
            </a:r>
            <a:r>
              <a:rPr lang="en-US" sz="900" baseline="0">
                <a:latin typeface="GHEA Grapalat" pitchFamily="50" charset="0"/>
              </a:rPr>
              <a:t> %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4839129483814542"/>
          <c:w val="0.57219556829743179"/>
          <c:h val="0.63926358053883281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Sheet1!$C$72:$F$72</c:f>
              <c:numCache>
                <c:formatCode>0.0</c:formatCode>
                <c:ptCount val="4"/>
                <c:pt idx="0">
                  <c:v>16.456358047592101</c:v>
                </c:pt>
                <c:pt idx="1">
                  <c:v>18.90429843673429</c:v>
                </c:pt>
                <c:pt idx="2">
                  <c:v>20.901552884087089</c:v>
                </c:pt>
                <c:pt idx="3">
                  <c:v>21.784530685861974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Sheet1!$C$73:$F$73</c:f>
              <c:numCache>
                <c:formatCode>#,##0.0;[Red]#,##0.0</c:formatCode>
                <c:ptCount val="4"/>
                <c:pt idx="0">
                  <c:v>83.543641952407881</c:v>
                </c:pt>
                <c:pt idx="1">
                  <c:v>81.095701563265678</c:v>
                </c:pt>
                <c:pt idx="2" formatCode="0.0">
                  <c:v>79.098447115912862</c:v>
                </c:pt>
                <c:pt idx="3">
                  <c:v>78.215469314138005</c:v>
                </c:pt>
              </c:numCache>
            </c:numRef>
          </c:val>
        </c:ser>
        <c:gapWidth val="75"/>
        <c:overlap val="100"/>
        <c:axId val="117260672"/>
        <c:axId val="117262208"/>
      </c:barChart>
      <c:catAx>
        <c:axId val="117260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7262208"/>
        <c:crosses val="autoZero"/>
        <c:auto val="1"/>
        <c:lblAlgn val="ctr"/>
        <c:lblOffset val="100"/>
      </c:catAx>
      <c:valAx>
        <c:axId val="11726220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17260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972878390201222E-2"/>
          <c:y val="0.84876932050160392"/>
          <c:w val="0.95483202099737519"/>
          <c:h val="0.12345290172061829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2014-2017 թթ. /</a:t>
            </a:r>
            <a:r>
              <a:rPr lang="en-US" sz="900" b="1" i="0" baseline="0">
                <a:latin typeface="GHEA Grapalat" pitchFamily="50" charset="0"/>
              </a:rPr>
              <a:t>օգոստոս</a:t>
            </a:r>
            <a:r>
              <a:rPr lang="hy-AM" sz="900" b="1" i="0" baseline="0">
                <a:latin typeface="GHEA Grapalat" pitchFamily="50" charset="0"/>
              </a:rPr>
              <a:t> ամսվա  վերջի  դրությամբ, մլն  ԱՄՆ 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920822397200355E-2"/>
          <c:y val="0.25856481481481497"/>
          <c:w val="0.5877917760279967"/>
          <c:h val="0.63913604549431324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7777777777777779E-2"/>
                  <c:y val="-6.9444444444444489E-2"/>
                </c:manualLayout>
              </c:layout>
              <c:showVal val="1"/>
            </c:dLbl>
            <c:dLbl>
              <c:idx val="1"/>
              <c:layout>
                <c:manualLayout>
                  <c:x val="-6.9444444444444489E-2"/>
                  <c:y val="-5.5555555555555483E-2"/>
                </c:manualLayout>
              </c:layout>
              <c:showVal val="1"/>
            </c:dLbl>
            <c:dLbl>
              <c:idx val="2"/>
              <c:layout>
                <c:manualLayout>
                  <c:x val="-6.9444444444444434E-2"/>
                  <c:y val="-6.4814814814814853E-2"/>
                </c:manualLayout>
              </c:layout>
              <c:showVal val="1"/>
            </c:dLbl>
            <c:dLbl>
              <c:idx val="3"/>
              <c:layout>
                <c:manualLayout>
                  <c:x val="-7.7777777777777779E-2"/>
                  <c:y val="-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5.833333333333339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4493.5771212186701</c:v>
                </c:pt>
                <c:pt idx="1">
                  <c:v>4753.8090775879327</c:v>
                </c:pt>
                <c:pt idx="2">
                  <c:v>5490.1516468803829</c:v>
                </c:pt>
                <c:pt idx="3">
                  <c:v>5942.0947456208996</c:v>
                </c:pt>
                <c:pt idx="4">
                  <c:v>6259.4889769731599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5.8333333333333369E-2"/>
                  <c:y val="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3.333333333333334E-2"/>
                  <c:y val="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3.8888888888888841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2.7777777777777811E-2"/>
                  <c:y val="6.0185185185185154E-2"/>
                </c:manualLayout>
              </c:layout>
              <c:showVal val="1"/>
            </c:dLbl>
            <c:dLbl>
              <c:idx val="4"/>
              <c:layout>
                <c:manualLayout>
                  <c:x val="-1.38888888888889E-2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Sheet1!$C$28:$G$28</c:f>
              <c:numCache>
                <c:formatCode>#,##0.0;[Red]#,##0.0</c:formatCode>
                <c:ptCount val="5"/>
                <c:pt idx="0">
                  <c:v>4031.530183503482</c:v>
                </c:pt>
                <c:pt idx="1">
                  <c:v>4276.08765464922</c:v>
                </c:pt>
                <c:pt idx="2">
                  <c:v>4988.4045035434101</c:v>
                </c:pt>
                <c:pt idx="3">
                  <c:v>5437.4301518282173</c:v>
                </c:pt>
                <c:pt idx="4">
                  <c:v>5685.6164256681132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7777777777777779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8.3333333333333343E-2"/>
                  <c:y val="-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6.9444444444444489E-2"/>
                  <c:y val="-3.2407407407407426E-2"/>
                </c:manualLayout>
              </c:layout>
              <c:showVal val="1"/>
            </c:dLbl>
            <c:dLbl>
              <c:idx val="3"/>
              <c:layout>
                <c:manualLayout>
                  <c:x val="-6.3888888888888884E-2"/>
                  <c:y val="-6.4814814814814936E-2"/>
                </c:manualLayout>
              </c:layout>
              <c:showVal val="1"/>
            </c:dLbl>
            <c:dLbl>
              <c:idx val="4"/>
              <c:layout>
                <c:manualLayout>
                  <c:x val="-4.1666666666666664E-2"/>
                  <c:y val="-6.018518518518515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462.04693771519584</c:v>
                </c:pt>
                <c:pt idx="1">
                  <c:v>477.72142293871394</c:v>
                </c:pt>
                <c:pt idx="2">
                  <c:v>501.74714333696721</c:v>
                </c:pt>
                <c:pt idx="3">
                  <c:v>504.66459379267485</c:v>
                </c:pt>
                <c:pt idx="4">
                  <c:v>573.87255130504866</c:v>
                </c:pt>
              </c:numCache>
            </c:numRef>
          </c:val>
        </c:ser>
        <c:dLbls>
          <c:showVal val="1"/>
        </c:dLbls>
        <c:marker val="1"/>
        <c:axId val="82723968"/>
        <c:axId val="82940672"/>
      </c:lineChart>
      <c:catAx>
        <c:axId val="82723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82940672"/>
        <c:crosses val="autoZero"/>
        <c:auto val="1"/>
        <c:lblAlgn val="ctr"/>
        <c:lblOffset val="100"/>
      </c:catAx>
      <c:valAx>
        <c:axId val="8294067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8272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2222222222225"/>
          <c:y val="0.2666695829687955"/>
          <c:w val="0.31744444444444464"/>
          <c:h val="0.62800342665500186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2014-2017 թթ. /օգոստոս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0797980992872"/>
          <c:y val="0.2497801837270342"/>
          <c:w val="0.5749170290621457"/>
          <c:h val="0.64792067658209429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5396143077209266E-2"/>
                  <c:y val="-5.5555555555555539E-2"/>
                </c:manualLayout>
              </c:layout>
              <c:showVal val="1"/>
            </c:dLbl>
            <c:dLbl>
              <c:idx val="1"/>
              <c:layout>
                <c:manualLayout>
                  <c:x val="-0.11169798974401374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0.11728288923121442"/>
                  <c:y val="-2.7777777777777748E-2"/>
                </c:manualLayout>
              </c:layout>
              <c:showVal val="1"/>
            </c:dLbl>
            <c:dLbl>
              <c:idx val="3"/>
              <c:layout>
                <c:manualLayout>
                  <c:x val="-0.11728288923121438"/>
                  <c:y val="-5.0925925925925979E-2"/>
                </c:manualLayout>
              </c:layout>
              <c:showVal val="1"/>
            </c:dLbl>
            <c:dLbl>
              <c:idx val="4"/>
              <c:layout>
                <c:manualLayout>
                  <c:x val="-7.8188592820809616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31.08.2016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1847.8937195587598</c:v>
                </c:pt>
                <c:pt idx="1">
                  <c:v>2298.6093032860904</c:v>
                </c:pt>
                <c:pt idx="2">
                  <c:v>2606.3396913235201</c:v>
                </c:pt>
                <c:pt idx="3">
                  <c:v>2875.61733119578</c:v>
                </c:pt>
                <c:pt idx="4">
                  <c:v>2994.4769316941902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-8.377349230801032E-3"/>
                  <c:y val="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77777777777779E-2"/>
                </c:manualLayout>
              </c:layout>
              <c:showVal val="1"/>
            </c:dLbl>
            <c:dLbl>
              <c:idx val="3"/>
              <c:layout>
                <c:manualLayout>
                  <c:x val="-8.377349230801032E-3"/>
                  <c:y val="4.6296296296296301E-2"/>
                </c:manualLayout>
              </c:layout>
              <c:showVal val="1"/>
            </c:dLbl>
            <c:dLbl>
              <c:idx val="4"/>
              <c:layout>
                <c:manualLayout>
                  <c:x val="-8.377349230801032E-3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31.08.2016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Sheet1!$C$5:$G$5</c:f>
              <c:numCache>
                <c:formatCode>#,##0.0;[Red]#,##0.0</c:formatCode>
                <c:ptCount val="5"/>
                <c:pt idx="0">
                  <c:v>1657.8861573621402</c:v>
                </c:pt>
                <c:pt idx="1">
                  <c:v>2067.61666365254</c:v>
                </c:pt>
                <c:pt idx="2">
                  <c:v>2368.1452699671595</c:v>
                </c:pt>
                <c:pt idx="3" formatCode="#,##0.0">
                  <c:v>2631.3899476757501</c:v>
                </c:pt>
                <c:pt idx="4">
                  <c:v>2719.9420418753703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098104256440998E-2"/>
                  <c:y val="-2.777777777777779E-2"/>
                </c:manualLayout>
              </c:layout>
              <c:showVal val="1"/>
            </c:dLbl>
            <c:dLbl>
              <c:idx val="1"/>
              <c:layout>
                <c:manualLayout>
                  <c:x val="-8.098104256440998E-2"/>
                  <c:y val="-1.8518518518518521E-2"/>
                </c:manualLayout>
              </c:layout>
              <c:showVal val="1"/>
            </c:dLbl>
            <c:dLbl>
              <c:idx val="2"/>
              <c:layout>
                <c:manualLayout>
                  <c:x val="-8.6565942051610667E-2"/>
                  <c:y val="-2.777777777777779E-2"/>
                </c:manualLayout>
              </c:layout>
              <c:showVal val="1"/>
            </c:dLbl>
            <c:dLbl>
              <c:idx val="3"/>
              <c:layout>
                <c:manualLayout>
                  <c:x val="-8.3773492308010261E-2"/>
                  <c:y val="-1.8518518518518521E-2"/>
                </c:manualLayout>
              </c:layout>
              <c:showVal val="1"/>
            </c:dLbl>
            <c:dLbl>
              <c:idx val="4"/>
              <c:layout>
                <c:manualLayout>
                  <c:x val="-5.8641444615607184E-2"/>
                  <c:y val="-6.01851851851850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31.08.2016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Sheet1!$C$6:$G$6</c:f>
              <c:numCache>
                <c:formatCode>0.0;[Red]0.0</c:formatCode>
                <c:ptCount val="5"/>
                <c:pt idx="0" formatCode="#,##0.0;[Red]#,##0.0">
                  <c:v>190.00756219661997</c:v>
                </c:pt>
                <c:pt idx="1">
                  <c:v>230.992639633556</c:v>
                </c:pt>
                <c:pt idx="2">
                  <c:v>238.19442135635799</c:v>
                </c:pt>
                <c:pt idx="3" formatCode="0.0">
                  <c:v>244.22738352002699</c:v>
                </c:pt>
                <c:pt idx="4">
                  <c:v>274.53488981882202</c:v>
                </c:pt>
              </c:numCache>
            </c:numRef>
          </c:val>
        </c:ser>
        <c:dLbls>
          <c:showVal val="1"/>
        </c:dLbls>
        <c:marker val="1"/>
        <c:axId val="83526400"/>
        <c:axId val="83528320"/>
      </c:lineChart>
      <c:catAx>
        <c:axId val="835264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3528320"/>
        <c:crosses val="autoZero"/>
        <c:auto val="1"/>
        <c:lblAlgn val="ctr"/>
        <c:lblOffset val="100"/>
      </c:catAx>
      <c:valAx>
        <c:axId val="8352832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352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24865863467276"/>
          <c:y val="0.25239282589676298"/>
          <c:w val="0.31995889162172736"/>
          <c:h val="0.6472973170020414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կառավարության արտաքին, ներքին և ՀՀ ԿԲ արտաքին պարտքերը 2014-2017թթ. /</a:t>
            </a:r>
            <a:r>
              <a:rPr lang="en-US" sz="900" b="1" i="0" baseline="0">
                <a:latin typeface="GHEA Grapalat" pitchFamily="50" charset="0"/>
              </a:rPr>
              <a:t>օգոստոս</a:t>
            </a:r>
            <a:r>
              <a:rPr lang="hy-AM" sz="900" b="1" i="0" baseline="0">
                <a:latin typeface="GHEA Grapalat" pitchFamily="50" charset="0"/>
              </a:rPr>
              <a:t> ամսվա վերջի դրությամբ, մլն 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025006534007704"/>
          <c:y val="0.23078703703703718"/>
          <c:w val="0.53856312245452787"/>
          <c:h val="0.6572841936424616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2279039997758518E-2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7.5059003074595385E-2"/>
                  <c:y val="-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0.102858633842964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7.5059003074595385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5.5599261536737346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31.08.2016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3333.403734983332</c:v>
                </c:pt>
                <c:pt idx="1">
                  <c:v>3572.3993597712615</c:v>
                </c:pt>
                <c:pt idx="2">
                  <c:v>4045.38162896207</c:v>
                </c:pt>
                <c:pt idx="3">
                  <c:v>4300.9228131085501</c:v>
                </c:pt>
                <c:pt idx="4">
                  <c:v>4447.0315707380296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6.3939150767247876E-2"/>
                  <c:y val="-6.4814814814814853E-2"/>
                </c:manualLayout>
              </c:layout>
              <c:showVal val="1"/>
            </c:dLbl>
            <c:dLbl>
              <c:idx val="1"/>
              <c:layout>
                <c:manualLayout>
                  <c:x val="-5.8379224613574185E-2"/>
                  <c:y val="-6.4814814814814853E-2"/>
                </c:manualLayout>
              </c:layout>
              <c:showVal val="1"/>
            </c:dLbl>
            <c:dLbl>
              <c:idx val="2"/>
              <c:layout>
                <c:manualLayout>
                  <c:x val="-7.2279039997758518E-2"/>
                  <c:y val="-4.6296296296296238E-2"/>
                </c:manualLayout>
              </c:layout>
              <c:showVal val="1"/>
            </c:dLbl>
            <c:dLbl>
              <c:idx val="3"/>
              <c:layout>
                <c:manualLayout>
                  <c:x val="-6.9499076920921735E-2"/>
                  <c:y val="-7.407407407407407E-2"/>
                </c:manualLayout>
              </c:layout>
              <c:showVal val="1"/>
            </c:dLbl>
            <c:dLbl>
              <c:idx val="4"/>
              <c:layout>
                <c:manualLayout>
                  <c:x val="-5.2819298459900493E-2"/>
                  <c:y val="-6.481481481481493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31.08.2016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Sheet1!$C$72:$G$72</c:f>
              <c:numCache>
                <c:formatCode>#,##0.0;[Red]#,##0.0</c:formatCode>
                <c:ptCount val="5"/>
                <c:pt idx="0" formatCode="_(* #,##0.0_);_(* \(#,##0.0\);_(* &quot;-&quot;??_);_(@_)">
                  <c:v>698.12644852014762</c:v>
                </c:pt>
                <c:pt idx="1">
                  <c:v>703.68829487795995</c:v>
                </c:pt>
                <c:pt idx="2" formatCode="_(* #,##0.0_);_(* \(#,##0.0\);_(* &quot;-&quot;??_);_(@_)">
                  <c:v>943.02287458134094</c:v>
                </c:pt>
                <c:pt idx="3" formatCode="_(* #,##0.0_);_(* \(#,##0.0\);_(* &quot;-&quot;??_);_(@_)">
                  <c:v>1136.5073387196799</c:v>
                </c:pt>
                <c:pt idx="4">
                  <c:v>1238.5848549300799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679778461021203E-2"/>
                  <c:y val="2.7777777777777811E-2"/>
                </c:manualLayout>
              </c:layout>
              <c:showVal val="1"/>
            </c:dLbl>
            <c:dLbl>
              <c:idx val="1"/>
              <c:layout>
                <c:manualLayout>
                  <c:x val="-1.1119852307347465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1.3899815384184337E-2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1.1119852307347465E-2"/>
                  <c:y val="3.2407407407407426E-2"/>
                </c:manualLayout>
              </c:layout>
              <c:showVal val="1"/>
            </c:dLbl>
            <c:dLbl>
              <c:idx val="4"/>
              <c:layout>
                <c:manualLayout>
                  <c:x val="-1.9459741537858063E-2"/>
                  <c:y val="-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31.08.2014</c:v>
                </c:pt>
                <c:pt idx="1">
                  <c:v>31.08.2015</c:v>
                </c:pt>
                <c:pt idx="2">
                  <c:v>31.08.2016</c:v>
                </c:pt>
                <c:pt idx="3">
                  <c:v>31.12.2016</c:v>
                </c:pt>
                <c:pt idx="4">
                  <c:v>31.08.2017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462.04693771519584</c:v>
                </c:pt>
                <c:pt idx="1">
                  <c:v>477.72142293871394</c:v>
                </c:pt>
                <c:pt idx="2">
                  <c:v>501.74714333696721</c:v>
                </c:pt>
                <c:pt idx="3">
                  <c:v>504.66459379267485</c:v>
                </c:pt>
                <c:pt idx="4">
                  <c:v>573.87255130504866</c:v>
                </c:pt>
              </c:numCache>
            </c:numRef>
          </c:val>
        </c:ser>
        <c:dLbls>
          <c:showVal val="1"/>
        </c:dLbls>
        <c:marker val="1"/>
        <c:axId val="84348288"/>
        <c:axId val="84362368"/>
      </c:lineChart>
      <c:catAx>
        <c:axId val="843482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84362368"/>
        <c:crosses val="autoZero"/>
        <c:auto val="1"/>
        <c:lblAlgn val="ctr"/>
        <c:lblOffset val="100"/>
      </c:catAx>
      <c:valAx>
        <c:axId val="8436236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84348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5428974570126"/>
          <c:y val="0.18060367454068238"/>
          <c:w val="0.29285991656608451"/>
          <c:h val="0.81865339749198063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587560615902078"/>
          <c:y val="0.22264605962346148"/>
          <c:w val="0.85072861437643565"/>
          <c:h val="0.62880182885593072"/>
        </c:manualLayout>
      </c:layout>
      <c:lineChart>
        <c:grouping val="standard"/>
        <c:ser>
          <c:idx val="0"/>
          <c:order val="0"/>
          <c:tx>
            <c:strRef>
              <c:f>Sheet1!$B$237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2324117107380786"/>
                  <c:y val="-1.6840538225369735E-2"/>
                </c:manualLayout>
              </c:layout>
              <c:showVal val="1"/>
            </c:dLbl>
            <c:dLbl>
              <c:idx val="1"/>
              <c:layout>
                <c:manualLayout>
                  <c:x val="-0.11788285928799005"/>
                  <c:y val="-2.8067563708949542E-2"/>
                </c:manualLayout>
              </c:layout>
              <c:showVal val="1"/>
            </c:dLbl>
            <c:dLbl>
              <c:idx val="2"/>
              <c:layout>
                <c:manualLayout>
                  <c:x val="-8.8412144465992534E-2"/>
                  <c:y val="-5.0521614676109147E-2"/>
                </c:manualLayout>
              </c:layout>
              <c:showVal val="1"/>
            </c:dLbl>
            <c:dLbl>
              <c:idx val="3"/>
              <c:layout>
                <c:manualLayout>
                  <c:x val="-0.10180792393053686"/>
                  <c:y val="-4.490810193431926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Sheet1!$C$236:$F$236</c:f>
              <c:strCache>
                <c:ptCount val="4"/>
                <c:pt idx="0">
                  <c:v>31.08.2015</c:v>
                </c:pt>
                <c:pt idx="1">
                  <c:v>31.08.2016</c:v>
                </c:pt>
                <c:pt idx="2">
                  <c:v>31.12.2016</c:v>
                </c:pt>
                <c:pt idx="3">
                  <c:v>31.08.2017</c:v>
                </c:pt>
              </c:strCache>
            </c:strRef>
          </c:cat>
          <c:val>
            <c:numRef>
              <c:f>Sheet1!$C$237:$F$237</c:f>
              <c:numCache>
                <c:formatCode>#,##0.00;[Red]#,##0.00</c:formatCode>
                <c:ptCount val="4"/>
                <c:pt idx="0">
                  <c:v>2662.1804794122286</c:v>
                </c:pt>
                <c:pt idx="1">
                  <c:v>3110.3510551411614</c:v>
                </c:pt>
                <c:pt idx="2">
                  <c:v>3379.9525870887928</c:v>
                </c:pt>
                <c:pt idx="3">
                  <c:v>3552.3841289759002</c:v>
                </c:pt>
              </c:numCache>
            </c:numRef>
          </c:val>
        </c:ser>
        <c:dLbls>
          <c:showVal val="1"/>
        </c:dLbls>
        <c:marker val="1"/>
        <c:axId val="84559744"/>
        <c:axId val="84561280"/>
      </c:lineChart>
      <c:catAx>
        <c:axId val="84559744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4561280"/>
        <c:crosses val="autoZero"/>
        <c:auto val="1"/>
        <c:lblAlgn val="ctr"/>
        <c:lblOffset val="100"/>
      </c:catAx>
      <c:valAx>
        <c:axId val="8456128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455974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ՀՀ կառավարության արտաքին պարտքի կառուցվածքն ըստ վարկատուների, %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525897021917082E-2"/>
          <c:y val="0.32643731256181835"/>
          <c:w val="0.98947410297808291"/>
          <c:h val="0.51973026532695521"/>
        </c:manualLayout>
      </c:layout>
      <c:barChart>
        <c:barDir val="col"/>
        <c:grouping val="stacked"/>
        <c:ser>
          <c:idx val="0"/>
          <c:order val="0"/>
          <c:tx>
            <c:strRef>
              <c:f>Sheet1!$B$176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Sheet1!$C$175:$E$175</c:f>
              <c:strCache>
                <c:ptCount val="3"/>
                <c:pt idx="0">
                  <c:v>31.08.2015</c:v>
                </c:pt>
                <c:pt idx="1">
                  <c:v>31.08.2016</c:v>
                </c:pt>
                <c:pt idx="2">
                  <c:v>31.08.2017</c:v>
                </c:pt>
              </c:strCache>
            </c:strRef>
          </c:cat>
          <c:val>
            <c:numRef>
              <c:f>Sheet1!$C$176:$E$176</c:f>
              <c:numCache>
                <c:formatCode>0.00</c:formatCode>
                <c:ptCount val="3"/>
                <c:pt idx="0">
                  <c:v>83.853317054345098</c:v>
                </c:pt>
                <c:pt idx="1">
                  <c:v>83.878730335412214</c:v>
                </c:pt>
                <c:pt idx="2">
                  <c:v>82.508630960566663</c:v>
                </c:pt>
              </c:numCache>
            </c:numRef>
          </c:val>
        </c:ser>
        <c:ser>
          <c:idx val="1"/>
          <c:order val="1"/>
          <c:tx>
            <c:strRef>
              <c:f>Sheet1!$B$177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Sheet1!$C$175:$E$175</c:f>
              <c:strCache>
                <c:ptCount val="3"/>
                <c:pt idx="0">
                  <c:v>31.08.2015</c:v>
                </c:pt>
                <c:pt idx="1">
                  <c:v>31.08.2016</c:v>
                </c:pt>
                <c:pt idx="2">
                  <c:v>31.08.2017</c:v>
                </c:pt>
              </c:strCache>
            </c:strRef>
          </c:cat>
          <c:val>
            <c:numRef>
              <c:f>Sheet1!$C$177:$E$177</c:f>
              <c:numCache>
                <c:formatCode>0.00</c:formatCode>
                <c:ptCount val="3"/>
                <c:pt idx="0">
                  <c:v>15.481413189930498</c:v>
                </c:pt>
                <c:pt idx="1">
                  <c:v>15.376444738827111</c:v>
                </c:pt>
                <c:pt idx="2">
                  <c:v>16.793301493340401</c:v>
                </c:pt>
              </c:numCache>
            </c:numRef>
          </c:val>
        </c:ser>
        <c:ser>
          <c:idx val="2"/>
          <c:order val="2"/>
          <c:tx>
            <c:strRef>
              <c:f>Sheet1!$B$178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2.6314742554792692E-3"/>
                  <c:y val="-2.7989005389756835E-2"/>
                </c:manualLayout>
              </c:layout>
              <c:showVal val="1"/>
            </c:dLbl>
            <c:dLbl>
              <c:idx val="1"/>
              <c:layout>
                <c:manualLayout>
                  <c:x val="-5.2629485109585384E-3"/>
                  <c:y val="-2.2391204311805454E-2"/>
                </c:manualLayout>
              </c:layout>
              <c:showVal val="1"/>
            </c:dLbl>
            <c:dLbl>
              <c:idx val="2"/>
              <c:layout>
                <c:manualLayout>
                  <c:x val="-5.2629485109585384E-3"/>
                  <c:y val="-3.3586806467708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Sheet1!$C$175:$E$175</c:f>
              <c:strCache>
                <c:ptCount val="3"/>
                <c:pt idx="0">
                  <c:v>31.08.2015</c:v>
                </c:pt>
                <c:pt idx="1">
                  <c:v>31.08.2016</c:v>
                </c:pt>
                <c:pt idx="2">
                  <c:v>31.08.2017</c:v>
                </c:pt>
              </c:strCache>
            </c:strRef>
          </c:cat>
          <c:val>
            <c:numRef>
              <c:f>Sheet1!$C$178:$E$178</c:f>
              <c:numCache>
                <c:formatCode>0.00</c:formatCode>
                <c:ptCount val="3"/>
                <c:pt idx="0">
                  <c:v>0.66526975572434799</c:v>
                </c:pt>
                <c:pt idx="1">
                  <c:v>0.74482492576056702</c:v>
                </c:pt>
                <c:pt idx="2">
                  <c:v>0.69806754609290067</c:v>
                </c:pt>
              </c:numCache>
            </c:numRef>
          </c:val>
        </c:ser>
        <c:dLbls>
          <c:showVal val="1"/>
        </c:dLbls>
        <c:gapWidth val="95"/>
        <c:overlap val="100"/>
        <c:axId val="86007808"/>
        <c:axId val="86009728"/>
      </c:barChart>
      <c:catAx>
        <c:axId val="860078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6009728"/>
        <c:crosses val="autoZero"/>
        <c:auto val="1"/>
        <c:lblAlgn val="ctr"/>
        <c:lblOffset val="100"/>
      </c:catAx>
      <c:valAx>
        <c:axId val="86009728"/>
        <c:scaling>
          <c:orientation val="minMax"/>
        </c:scaling>
        <c:delete val="1"/>
        <c:axPos val="l"/>
        <c:numFmt formatCode="0.00" sourceLinked="1"/>
        <c:tickLblPos val="nextTo"/>
        <c:crossAx val="86007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818013042166581E-2"/>
          <c:y val="0.20465560740990185"/>
          <c:w val="0.97636397391566643"/>
          <c:h val="0.11058610299601369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ՀՀ կառավարության պարտքի գծով վճարված</a:t>
            </a:r>
            <a:r>
              <a:rPr lang="hy-AM" sz="1000" b="1" i="0" baseline="0">
                <a:latin typeface="GHEA Grapalat" pitchFamily="50" charset="0"/>
              </a:rPr>
              <a:t> տոկոսավճարներ</a:t>
            </a:r>
            <a:r>
              <a:rPr lang="en-US" sz="1000" b="1" i="0" baseline="0">
                <a:latin typeface="GHEA Grapalat" pitchFamily="50" charset="0"/>
              </a:rPr>
              <a:t>, մլրդ դրամ</a:t>
            </a:r>
            <a:endParaRPr lang="hy-AM" sz="10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720932028868858E-2"/>
          <c:y val="0.22149975742038411"/>
          <c:w val="0.97855813594226171"/>
          <c:h val="0.62425013798653672"/>
        </c:manualLayout>
      </c:layout>
      <c:barChart>
        <c:barDir val="col"/>
        <c:grouping val="clustered"/>
        <c:ser>
          <c:idx val="0"/>
          <c:order val="0"/>
          <c:tx>
            <c:strRef>
              <c:f>Sheet1!$B$136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1755818452175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42341091269566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42341091269567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Sheet1!$C$135:$E$135</c:f>
              <c:strCache>
                <c:ptCount val="3"/>
                <c:pt idx="0">
                  <c:v>01.01.2015-31.08.2015</c:v>
                </c:pt>
                <c:pt idx="1">
                  <c:v>01.01.2016-31.08.2016</c:v>
                </c:pt>
                <c:pt idx="2">
                  <c:v>01.01.2017-31.08.2017</c:v>
                </c:pt>
              </c:strCache>
            </c:strRef>
          </c:cat>
          <c:val>
            <c:numRef>
              <c:f>Sheet1!$C$136:$E$136</c:f>
              <c:numCache>
                <c:formatCode>0.00</c:formatCode>
                <c:ptCount val="3"/>
                <c:pt idx="0">
                  <c:v>42.49</c:v>
                </c:pt>
                <c:pt idx="1">
                  <c:v>55.5</c:v>
                </c:pt>
                <c:pt idx="2">
                  <c:v>70.123959790575881</c:v>
                </c:pt>
              </c:numCache>
            </c:numRef>
          </c:val>
        </c:ser>
        <c:dLbls>
          <c:showVal val="1"/>
        </c:dLbls>
        <c:overlap val="-25"/>
        <c:axId val="92778880"/>
        <c:axId val="92781184"/>
      </c:barChart>
      <c:catAx>
        <c:axId val="927788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2781184"/>
        <c:crosses val="autoZero"/>
        <c:auto val="1"/>
        <c:lblAlgn val="ctr"/>
        <c:lblOffset val="100"/>
      </c:catAx>
      <c:valAx>
        <c:axId val="92781184"/>
        <c:scaling>
          <c:orientation val="minMax"/>
        </c:scaling>
        <c:delete val="1"/>
        <c:axPos val="l"/>
        <c:numFmt formatCode="0.00" sourceLinked="1"/>
        <c:tickLblPos val="nextTo"/>
        <c:crossAx val="9277888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կառավարության պարտքի գծով վճարված</a:t>
            </a:r>
            <a:r>
              <a:rPr lang="hy-AM" sz="900" b="1" i="0" baseline="0">
                <a:latin typeface="GHEA Grapalat" pitchFamily="50" charset="0"/>
              </a:rPr>
              <a:t> </a:t>
            </a:r>
            <a:r>
              <a:rPr lang="en-US" sz="900" b="1" i="0" baseline="0">
                <a:latin typeface="GHEA Grapalat" pitchFamily="50" charset="0"/>
              </a:rPr>
              <a:t>ներքին և արտաքին </a:t>
            </a:r>
            <a:r>
              <a:rPr lang="hy-AM" sz="900" b="1" i="0" baseline="0">
                <a:latin typeface="GHEA Grapalat" pitchFamily="50" charset="0"/>
              </a:rPr>
              <a:t>տոկոսավճարներ</a:t>
            </a:r>
            <a:r>
              <a:rPr lang="en-US" sz="900" b="1" i="0" baseline="0">
                <a:latin typeface="GHEA Grapalat" pitchFamily="50" charset="0"/>
              </a:rPr>
              <a:t>, մլրդ դրամ</a:t>
            </a:r>
            <a:endParaRPr lang="hy-AM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32981095963732826"/>
          <c:w val="1"/>
          <c:h val="0.50369546311716473"/>
        </c:manualLayout>
      </c:layout>
      <c:barChart>
        <c:barDir val="col"/>
        <c:grouping val="stacked"/>
        <c:ser>
          <c:idx val="0"/>
          <c:order val="0"/>
          <c:tx>
            <c:strRef>
              <c:f>Sheet1!$B$156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Sheet1!$C$155:$E$155</c:f>
              <c:strCache>
                <c:ptCount val="3"/>
                <c:pt idx="0">
                  <c:v>01.01.2015-31.08.2015</c:v>
                </c:pt>
                <c:pt idx="1">
                  <c:v>01.01.2016-31.08.2016</c:v>
                </c:pt>
                <c:pt idx="2">
                  <c:v>01.01.2017-31.08.2017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22.62</c:v>
                </c:pt>
                <c:pt idx="1">
                  <c:v>25.2</c:v>
                </c:pt>
                <c:pt idx="2">
                  <c:v>36.076107925750001</c:v>
                </c:pt>
              </c:numCache>
            </c:numRef>
          </c:val>
        </c:ser>
        <c:ser>
          <c:idx val="1"/>
          <c:order val="1"/>
          <c:tx>
            <c:strRef>
              <c:f>Sheet1!$B$157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Sheet1!$C$155:$E$155</c:f>
              <c:strCache>
                <c:ptCount val="3"/>
                <c:pt idx="0">
                  <c:v>01.01.2015-31.08.2015</c:v>
                </c:pt>
                <c:pt idx="1">
                  <c:v>01.01.2016-31.08.2016</c:v>
                </c:pt>
                <c:pt idx="2">
                  <c:v>01.01.2017-31.08.2017</c:v>
                </c:pt>
              </c:strCache>
            </c:strRef>
          </c:cat>
          <c:val>
            <c:numRef>
              <c:f>Sheet1!$C$157:$E$157</c:f>
              <c:numCache>
                <c:formatCode>0.00</c:formatCode>
                <c:ptCount val="3"/>
                <c:pt idx="0">
                  <c:v>19.87</c:v>
                </c:pt>
                <c:pt idx="1">
                  <c:v>30.2</c:v>
                </c:pt>
                <c:pt idx="2">
                  <c:v>34.047851864825901</c:v>
                </c:pt>
              </c:numCache>
            </c:numRef>
          </c:val>
        </c:ser>
        <c:dLbls>
          <c:showVal val="1"/>
        </c:dLbls>
        <c:gapWidth val="95"/>
        <c:overlap val="100"/>
        <c:axId val="92857856"/>
        <c:axId val="92859392"/>
      </c:barChart>
      <c:catAx>
        <c:axId val="928578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2859392"/>
        <c:crosses val="autoZero"/>
        <c:auto val="1"/>
        <c:lblAlgn val="ctr"/>
        <c:lblOffset val="100"/>
      </c:catAx>
      <c:valAx>
        <c:axId val="92859392"/>
        <c:scaling>
          <c:orientation val="minMax"/>
        </c:scaling>
        <c:delete val="1"/>
        <c:axPos val="l"/>
        <c:numFmt formatCode="0.00" sourceLinked="1"/>
        <c:tickLblPos val="nextTo"/>
        <c:crossAx val="92857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538407485095783"/>
          <c:w val="0.99870356934961058"/>
          <c:h val="0.12442688478637018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1000">
                <a:latin typeface="GHEA Grapalat" pitchFamily="50" charset="0"/>
              </a:rPr>
              <a:t>Պետական բյուջեի պակասուրդի ֆինանսավորումը փոխառու զուտ միջոցների հաշվին </a:t>
            </a:r>
            <a:r>
              <a:rPr lang="en-US" sz="1000">
                <a:latin typeface="GHEA Grapalat" pitchFamily="50" charset="0"/>
              </a:rPr>
              <a:t>, մլրդ դրամ</a:t>
            </a:r>
            <a:endParaRPr lang="hy-AM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3395779464544325E-2"/>
          <c:y val="0.25063108479813606"/>
          <c:w val="0.98660422053545571"/>
          <c:h val="0.59943781983154965"/>
        </c:manualLayout>
      </c:layout>
      <c:barChart>
        <c:barDir val="col"/>
        <c:grouping val="clustered"/>
        <c:ser>
          <c:idx val="0"/>
          <c:order val="0"/>
          <c:tx>
            <c:strRef>
              <c:f>Sheet1!$B$97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Sheet1!$C$96:$E$96</c:f>
              <c:strCache>
                <c:ptCount val="3"/>
                <c:pt idx="0">
                  <c:v>01.01.2015-31.08.2015</c:v>
                </c:pt>
                <c:pt idx="1">
                  <c:v>01.01.2016-31.08.2016</c:v>
                </c:pt>
                <c:pt idx="2">
                  <c:v>01.01.2017-31.08.2017</c:v>
                </c:pt>
              </c:strCache>
            </c:strRef>
          </c:cat>
          <c:val>
            <c:numRef>
              <c:f>Sheet1!$C$97:$E$97</c:f>
              <c:numCache>
                <c:formatCode>0.00</c:formatCode>
                <c:ptCount val="3"/>
                <c:pt idx="0">
                  <c:v>157.79</c:v>
                </c:pt>
                <c:pt idx="1">
                  <c:v>133.80000000000001</c:v>
                </c:pt>
                <c:pt idx="2">
                  <c:v>43.066213976473421</c:v>
                </c:pt>
              </c:numCache>
            </c:numRef>
          </c:val>
        </c:ser>
        <c:dLbls>
          <c:showVal val="1"/>
        </c:dLbls>
        <c:overlap val="-25"/>
        <c:axId val="93497216"/>
        <c:axId val="93514368"/>
      </c:barChart>
      <c:catAx>
        <c:axId val="93497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3514368"/>
        <c:crosses val="autoZero"/>
        <c:auto val="1"/>
        <c:lblAlgn val="ctr"/>
        <c:lblOffset val="100"/>
      </c:catAx>
      <c:valAx>
        <c:axId val="93514368"/>
        <c:scaling>
          <c:orientation val="minMax"/>
        </c:scaling>
        <c:delete val="1"/>
        <c:axPos val="l"/>
        <c:numFmt formatCode="0.00" sourceLinked="1"/>
        <c:tickLblPos val="nextTo"/>
        <c:crossAx val="93497216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0.72917</cdr:x>
      <cdr:y>0.29861</cdr:y>
    </cdr:from>
    <cdr:to>
      <cdr:x>1</cdr:x>
      <cdr:y>0.73958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33751" y="819150"/>
          <a:ext cx="1238249" cy="1209675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8-10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0.82917</cdr:x>
      <cdr:y>0.20486</cdr:y>
    </cdr:from>
    <cdr:to>
      <cdr:x>0.99583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790950" y="561975"/>
          <a:ext cx="762000" cy="1409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0.70175</cdr:x>
      <cdr:y>0.64003</cdr:y>
    </cdr:from>
    <cdr:to>
      <cdr:x>0.97883</cdr:x>
      <cdr:y>0.82753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454272" y="1805430"/>
          <a:ext cx="1363886" cy="528907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54</cp:revision>
  <cp:lastPrinted>2017-03-20T07:56:00Z</cp:lastPrinted>
  <dcterms:created xsi:type="dcterms:W3CDTF">2017-01-25T10:14:00Z</dcterms:created>
  <dcterms:modified xsi:type="dcterms:W3CDTF">2017-09-22T05:43:00Z</dcterms:modified>
</cp:coreProperties>
</file>