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F62FE3">
      <w:pPr>
        <w:spacing w:after="0"/>
        <w:ind w:left="-357" w:firstLine="357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5403D8" w:rsidP="00F62FE3">
      <w:pPr>
        <w:spacing w:after="0"/>
        <w:ind w:left="-357" w:firstLine="357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D500DF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D500DF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>թթ. Հայաստանի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Հանրապետության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պետական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պարտքի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վերաբերյալ (</w:t>
      </w:r>
      <w:r w:rsidR="00D6328B">
        <w:rPr>
          <w:rFonts w:ascii="GHEA Grapalat" w:hAnsi="GHEA Grapalat" w:cs="Sylfaen"/>
          <w:sz w:val="24"/>
          <w:szCs w:val="24"/>
        </w:rPr>
        <w:t>դեկտեմբեր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ամսվա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վերջի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3B7856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D6328B" w:rsidP="00AB1442">
      <w:pPr>
        <w:tabs>
          <w:tab w:val="left" w:pos="2610"/>
        </w:tabs>
        <w:ind w:left="-360" w:firstLine="360"/>
        <w:rPr>
          <w:rFonts w:ascii="GHEA Grapalat" w:hAnsi="GHEA Grapalat"/>
          <w:sz w:val="24"/>
          <w:szCs w:val="24"/>
        </w:rPr>
      </w:pPr>
      <w:r w:rsidRPr="00D6328B">
        <w:rPr>
          <w:rFonts w:ascii="GHEA Grapalat" w:hAnsi="GHEA Grapalat"/>
          <w:sz w:val="24"/>
          <w:szCs w:val="24"/>
        </w:rPr>
        <w:drawing>
          <wp:inline distT="0" distB="0" distL="0" distR="0">
            <wp:extent cx="4637405" cy="2743200"/>
            <wp:effectExtent l="19050" t="0" r="1079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6328B">
        <w:rPr>
          <w:rFonts w:ascii="GHEA Grapalat" w:hAnsi="GHEA Grapalat"/>
          <w:sz w:val="24"/>
          <w:szCs w:val="24"/>
        </w:rPr>
        <w:drawing>
          <wp:inline distT="0" distB="0" distL="0" distR="0">
            <wp:extent cx="4578350" cy="2743200"/>
            <wp:effectExtent l="19050" t="0" r="1270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F5204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F5204C">
        <w:rPr>
          <w:rFonts w:ascii="GHEA Grapalat" w:hAnsi="GHEA Grapalat"/>
          <w:sz w:val="24"/>
          <w:szCs w:val="24"/>
        </w:rPr>
        <w:drawing>
          <wp:inline distT="0" distB="0" distL="0" distR="0">
            <wp:extent cx="4637405" cy="2743200"/>
            <wp:effectExtent l="19050" t="0" r="1079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5204C">
        <w:rPr>
          <w:rFonts w:ascii="GHEA Grapalat" w:hAnsi="GHEA Grapalat"/>
          <w:sz w:val="24"/>
          <w:szCs w:val="24"/>
        </w:rPr>
        <w:drawing>
          <wp:inline distT="0" distB="0" distL="0" distR="0">
            <wp:extent cx="4578350" cy="2743200"/>
            <wp:effectExtent l="19050" t="0" r="1270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422D76" w:rsidP="00B41CF7">
      <w:pPr>
        <w:ind w:left="-360"/>
        <w:rPr>
          <w:rFonts w:ascii="GHEA Grapalat" w:hAnsi="GHEA Grapalat"/>
          <w:sz w:val="24"/>
          <w:szCs w:val="24"/>
        </w:rPr>
      </w:pPr>
      <w:r w:rsidRPr="00422D76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732655" cy="2057400"/>
            <wp:effectExtent l="19050" t="0" r="10795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8294B" w:rsidRPr="00C8294B">
        <w:rPr>
          <w:rFonts w:ascii="GHEA Grapalat" w:hAnsi="GHEA Grapalat"/>
          <w:sz w:val="24"/>
          <w:szCs w:val="24"/>
        </w:rPr>
        <w:drawing>
          <wp:inline distT="0" distB="0" distL="0" distR="0">
            <wp:extent cx="4733925" cy="2057400"/>
            <wp:effectExtent l="19050" t="0" r="9525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5F3943" w:rsidP="00B41CF7">
      <w:pPr>
        <w:ind w:left="-360"/>
        <w:rPr>
          <w:rFonts w:ascii="GHEA Grapalat" w:hAnsi="GHEA Grapalat"/>
          <w:sz w:val="24"/>
          <w:szCs w:val="24"/>
        </w:rPr>
      </w:pPr>
      <w:r w:rsidRPr="005F3943">
        <w:rPr>
          <w:rFonts w:ascii="GHEA Grapalat" w:hAnsi="GHEA Grapalat"/>
          <w:sz w:val="24"/>
          <w:szCs w:val="24"/>
        </w:rPr>
        <w:drawing>
          <wp:inline distT="0" distB="0" distL="0" distR="0">
            <wp:extent cx="4732655" cy="2162175"/>
            <wp:effectExtent l="19050" t="0" r="10795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F3943">
        <w:rPr>
          <w:rFonts w:ascii="GHEA Grapalat" w:hAnsi="GHEA Grapalat"/>
          <w:sz w:val="24"/>
          <w:szCs w:val="24"/>
        </w:rPr>
        <w:drawing>
          <wp:inline distT="0" distB="0" distL="0" distR="0">
            <wp:extent cx="4733925" cy="2171700"/>
            <wp:effectExtent l="19050" t="0" r="9525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E778B0" w:rsidP="003A764E">
      <w:pPr>
        <w:ind w:left="-360"/>
        <w:rPr>
          <w:rFonts w:ascii="GHEA Grapalat" w:hAnsi="GHEA Grapalat"/>
          <w:sz w:val="24"/>
          <w:szCs w:val="24"/>
        </w:rPr>
      </w:pPr>
      <w:r w:rsidRPr="00E778B0">
        <w:rPr>
          <w:rFonts w:ascii="GHEA Grapalat" w:hAnsi="GHEA Grapalat"/>
          <w:sz w:val="24"/>
          <w:szCs w:val="24"/>
        </w:rPr>
        <w:drawing>
          <wp:inline distT="0" distB="0" distL="0" distR="0">
            <wp:extent cx="4732655" cy="2124075"/>
            <wp:effectExtent l="19050" t="0" r="10795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E778B0">
        <w:rPr>
          <w:rFonts w:ascii="GHEA Grapalat" w:hAnsi="GHEA Grapalat"/>
          <w:sz w:val="24"/>
          <w:szCs w:val="24"/>
        </w:rPr>
        <w:drawing>
          <wp:inline distT="0" distB="0" distL="0" distR="0">
            <wp:extent cx="4733925" cy="2124075"/>
            <wp:effectExtent l="19050" t="0" r="9525" b="0"/>
            <wp:docPr id="1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281914" w:rsidP="000359FA">
      <w:pPr>
        <w:ind w:left="-360"/>
        <w:rPr>
          <w:rFonts w:ascii="GHEA Grapalat" w:hAnsi="GHEA Grapalat"/>
          <w:sz w:val="24"/>
          <w:szCs w:val="24"/>
        </w:rPr>
      </w:pPr>
      <w:r w:rsidRPr="00281914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782820" cy="3228975"/>
            <wp:effectExtent l="19050" t="0" r="17780" b="0"/>
            <wp:docPr id="1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240C8" w:rsidRPr="000240C8">
        <w:rPr>
          <w:rFonts w:ascii="GHEA Grapalat" w:hAnsi="GHEA Grapalat"/>
          <w:sz w:val="24"/>
          <w:szCs w:val="24"/>
        </w:rPr>
        <w:drawing>
          <wp:inline distT="0" distB="0" distL="0" distR="0">
            <wp:extent cx="4629150" cy="3228975"/>
            <wp:effectExtent l="19050" t="0" r="19050" b="0"/>
            <wp:docPr id="1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0240C8" w:rsidP="000359FA">
      <w:pPr>
        <w:ind w:left="-360"/>
        <w:rPr>
          <w:rFonts w:ascii="GHEA Grapalat" w:hAnsi="GHEA Grapalat"/>
          <w:sz w:val="24"/>
          <w:szCs w:val="24"/>
        </w:rPr>
      </w:pPr>
      <w:bookmarkStart w:id="0" w:name="_GoBack"/>
      <w:r w:rsidRPr="000240C8">
        <w:rPr>
          <w:rFonts w:ascii="GHEA Grapalat" w:hAnsi="GHEA Grapalat"/>
          <w:sz w:val="24"/>
          <w:szCs w:val="24"/>
        </w:rPr>
        <w:drawing>
          <wp:inline distT="0" distB="0" distL="0" distR="0">
            <wp:extent cx="4782820" cy="2924175"/>
            <wp:effectExtent l="19050" t="0" r="17780" b="0"/>
            <wp:docPr id="2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  <w:r w:rsidRPr="000240C8">
        <w:rPr>
          <w:rFonts w:ascii="GHEA Grapalat" w:hAnsi="GHEA Grapalat"/>
          <w:sz w:val="24"/>
          <w:szCs w:val="24"/>
        </w:rPr>
        <w:drawing>
          <wp:inline distT="0" distB="0" distL="0" distR="0">
            <wp:extent cx="4629150" cy="2924175"/>
            <wp:effectExtent l="19050" t="0" r="19050" b="0"/>
            <wp:docPr id="2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1DEF" w:rsidRDefault="00D71DEF" w:rsidP="00F62FE3">
      <w:pPr>
        <w:spacing w:after="0"/>
        <w:ind w:left="-357" w:firstLine="357"/>
        <w:jc w:val="center"/>
        <w:rPr>
          <w:rFonts w:ascii="GHEA Grapalat" w:hAnsi="GHEA Grapalat" w:cs="Sylfaen"/>
          <w:b/>
          <w:sz w:val="28"/>
          <w:szCs w:val="28"/>
        </w:rPr>
      </w:pPr>
      <w:bookmarkStart w:id="1" w:name="_Toc456102860"/>
    </w:p>
    <w:p w:rsidR="000278D1" w:rsidRPr="002F2A59" w:rsidRDefault="000278D1" w:rsidP="00F62FE3">
      <w:pPr>
        <w:spacing w:after="0"/>
        <w:ind w:left="-357" w:firstLine="357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</w:p>
    <w:p w:rsidR="007E7077" w:rsidRPr="007E7077" w:rsidRDefault="000278D1" w:rsidP="00F62FE3">
      <w:pPr>
        <w:spacing w:after="0"/>
        <w:ind w:left="-357" w:firstLine="357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</w:t>
      </w:r>
      <w:r w:rsidR="00B01A5C">
        <w:rPr>
          <w:rFonts w:ascii="GHEA Grapalat" w:hAnsi="GHEA Grapalat"/>
          <w:sz w:val="24"/>
          <w:szCs w:val="24"/>
        </w:rPr>
        <w:t>9</w:t>
      </w:r>
      <w:r w:rsidRPr="004A3BA1">
        <w:rPr>
          <w:rFonts w:ascii="GHEA Grapalat" w:hAnsi="GHEA Grapalat"/>
          <w:sz w:val="24"/>
          <w:szCs w:val="24"/>
        </w:rPr>
        <w:t xml:space="preserve"> -20</w:t>
      </w:r>
      <w:r w:rsidR="00366BCC">
        <w:rPr>
          <w:rFonts w:ascii="GHEA Grapalat" w:hAnsi="GHEA Grapalat"/>
          <w:sz w:val="24"/>
          <w:szCs w:val="24"/>
        </w:rPr>
        <w:t>2</w:t>
      </w:r>
      <w:r w:rsidR="00B01A5C">
        <w:rPr>
          <w:rFonts w:ascii="GHEA Grapalat" w:hAnsi="GHEA Grapalat"/>
          <w:sz w:val="24"/>
          <w:szCs w:val="24"/>
        </w:rPr>
        <w:t>1</w:t>
      </w:r>
      <w:r w:rsidRPr="004A3BA1">
        <w:rPr>
          <w:rFonts w:ascii="GHEA Grapalat" w:hAnsi="GHEA Grapalat"/>
          <w:sz w:val="24"/>
          <w:szCs w:val="24"/>
        </w:rPr>
        <w:t>ԹԹ. ՌԱԶՄԱՎԱՐԱԿԱՆ ԾՐԱԳՐԻ</w:t>
      </w:r>
      <w:bookmarkEnd w:id="1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7F0FAD" w:rsidP="00EC6568">
      <w:pPr>
        <w:ind w:left="-360"/>
        <w:rPr>
          <w:rFonts w:ascii="GHEA Grapalat" w:hAnsi="GHEA Grapalat"/>
          <w:b/>
          <w:sz w:val="16"/>
          <w:szCs w:val="16"/>
        </w:rPr>
      </w:pPr>
      <w:r w:rsidRPr="007F0FAD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572000" cy="2914650"/>
            <wp:effectExtent l="19050" t="0" r="19050" b="0"/>
            <wp:docPr id="32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546D87" w:rsidRPr="00546D87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867275" cy="2914650"/>
            <wp:effectExtent l="19050" t="0" r="28575" b="0"/>
            <wp:docPr id="2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1A21" w:rsidRDefault="00546D87" w:rsidP="00EC6568">
      <w:pPr>
        <w:ind w:left="-360"/>
        <w:rPr>
          <w:rFonts w:ascii="GHEA Grapalat" w:hAnsi="GHEA Grapalat"/>
          <w:sz w:val="24"/>
          <w:szCs w:val="24"/>
        </w:rPr>
      </w:pPr>
      <w:r w:rsidRPr="00546D87">
        <w:rPr>
          <w:rFonts w:ascii="GHEA Grapalat" w:hAnsi="GHEA Grapalat"/>
          <w:sz w:val="24"/>
          <w:szCs w:val="24"/>
        </w:rPr>
        <w:drawing>
          <wp:inline distT="0" distB="0" distL="0" distR="0">
            <wp:extent cx="4552950" cy="2886075"/>
            <wp:effectExtent l="19050" t="0" r="19050" b="0"/>
            <wp:docPr id="31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54A0D" w:rsidRPr="00054A0D">
        <w:rPr>
          <w:rFonts w:ascii="GHEA Grapalat" w:hAnsi="GHEA Grapalat"/>
          <w:sz w:val="24"/>
          <w:szCs w:val="24"/>
        </w:rPr>
        <w:drawing>
          <wp:inline distT="0" distB="0" distL="0" distR="0">
            <wp:extent cx="4886325" cy="2886075"/>
            <wp:effectExtent l="19050" t="0" r="9525" b="0"/>
            <wp:docPr id="38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1E1A21" w:rsidSect="00381D7F">
      <w:headerReference w:type="default" r:id="rId24"/>
      <w:pgSz w:w="15840" w:h="12240" w:orient="landscape"/>
      <w:pgMar w:top="930" w:right="270" w:bottom="426" w:left="63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96" w:rsidRDefault="00A17296" w:rsidP="00AC2D9E">
      <w:pPr>
        <w:spacing w:after="0" w:line="240" w:lineRule="auto"/>
      </w:pPr>
      <w:r>
        <w:separator/>
      </w:r>
    </w:p>
  </w:endnote>
  <w:endnote w:type="continuationSeparator" w:id="1">
    <w:p w:rsidR="00A17296" w:rsidRDefault="00A17296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96" w:rsidRDefault="00A17296" w:rsidP="00AC2D9E">
      <w:pPr>
        <w:spacing w:after="0" w:line="240" w:lineRule="auto"/>
      </w:pPr>
      <w:r>
        <w:separator/>
      </w:r>
    </w:p>
  </w:footnote>
  <w:footnote w:type="continuationSeparator" w:id="1">
    <w:p w:rsidR="00A17296" w:rsidRDefault="00A17296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78" w:rsidRDefault="00F44678" w:rsidP="00F62FE3">
    <w:pPr>
      <w:pStyle w:val="Header"/>
      <w:jc w:val="right"/>
    </w:pPr>
    <w:r w:rsidRPr="00F44678">
      <w:rPr>
        <w:noProof/>
      </w:rPr>
      <w:drawing>
        <wp:inline distT="0" distB="0" distL="0" distR="0">
          <wp:extent cx="990247" cy="581729"/>
          <wp:effectExtent l="0" t="0" r="0" b="0"/>
          <wp:docPr id="17" name="Picture 17" descr="C:\Users\Budget.office\Desktop\logo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get.office\Desktop\logo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420" cy="60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07BDD"/>
    <w:rsid w:val="00011D4F"/>
    <w:rsid w:val="00020728"/>
    <w:rsid w:val="00020F73"/>
    <w:rsid w:val="00021D63"/>
    <w:rsid w:val="000240C8"/>
    <w:rsid w:val="000261F4"/>
    <w:rsid w:val="000278D1"/>
    <w:rsid w:val="000359FA"/>
    <w:rsid w:val="000415EA"/>
    <w:rsid w:val="00050345"/>
    <w:rsid w:val="00051169"/>
    <w:rsid w:val="00054A0D"/>
    <w:rsid w:val="00056F88"/>
    <w:rsid w:val="0006240F"/>
    <w:rsid w:val="000675D6"/>
    <w:rsid w:val="00070BDD"/>
    <w:rsid w:val="00071D1B"/>
    <w:rsid w:val="00074039"/>
    <w:rsid w:val="00077EDB"/>
    <w:rsid w:val="00082634"/>
    <w:rsid w:val="00082A3C"/>
    <w:rsid w:val="0008485C"/>
    <w:rsid w:val="00090678"/>
    <w:rsid w:val="000A0C6E"/>
    <w:rsid w:val="000A5C8A"/>
    <w:rsid w:val="000B0744"/>
    <w:rsid w:val="000B4118"/>
    <w:rsid w:val="000B78A5"/>
    <w:rsid w:val="000C06C9"/>
    <w:rsid w:val="000C120D"/>
    <w:rsid w:val="000C1A28"/>
    <w:rsid w:val="000C4B73"/>
    <w:rsid w:val="000E00F8"/>
    <w:rsid w:val="000E4E1E"/>
    <w:rsid w:val="000E596E"/>
    <w:rsid w:val="00107438"/>
    <w:rsid w:val="00112938"/>
    <w:rsid w:val="00114CFF"/>
    <w:rsid w:val="00123208"/>
    <w:rsid w:val="001328AC"/>
    <w:rsid w:val="00136864"/>
    <w:rsid w:val="00146710"/>
    <w:rsid w:val="001708FC"/>
    <w:rsid w:val="00185A1A"/>
    <w:rsid w:val="00187C15"/>
    <w:rsid w:val="001963B2"/>
    <w:rsid w:val="0019787B"/>
    <w:rsid w:val="001A4ADA"/>
    <w:rsid w:val="001B01D5"/>
    <w:rsid w:val="001C214B"/>
    <w:rsid w:val="001C2936"/>
    <w:rsid w:val="001C4505"/>
    <w:rsid w:val="001C6E08"/>
    <w:rsid w:val="001D027C"/>
    <w:rsid w:val="001E1A21"/>
    <w:rsid w:val="001E20E6"/>
    <w:rsid w:val="001E28A6"/>
    <w:rsid w:val="001E69DE"/>
    <w:rsid w:val="00202DDC"/>
    <w:rsid w:val="00206E27"/>
    <w:rsid w:val="00210A34"/>
    <w:rsid w:val="00213743"/>
    <w:rsid w:val="002152B4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81914"/>
    <w:rsid w:val="002A07FA"/>
    <w:rsid w:val="002A0970"/>
    <w:rsid w:val="002A3D43"/>
    <w:rsid w:val="002D0C0B"/>
    <w:rsid w:val="002D0C8F"/>
    <w:rsid w:val="002E1BC5"/>
    <w:rsid w:val="002E1C74"/>
    <w:rsid w:val="002E2575"/>
    <w:rsid w:val="002E78DF"/>
    <w:rsid w:val="002F2A59"/>
    <w:rsid w:val="002F56E9"/>
    <w:rsid w:val="0030485A"/>
    <w:rsid w:val="00304E24"/>
    <w:rsid w:val="003139F5"/>
    <w:rsid w:val="00314083"/>
    <w:rsid w:val="00316E05"/>
    <w:rsid w:val="00321730"/>
    <w:rsid w:val="00331E34"/>
    <w:rsid w:val="00332A6B"/>
    <w:rsid w:val="003428D7"/>
    <w:rsid w:val="00345B70"/>
    <w:rsid w:val="00356A9D"/>
    <w:rsid w:val="00360AEC"/>
    <w:rsid w:val="00366BCC"/>
    <w:rsid w:val="003670A8"/>
    <w:rsid w:val="0038186E"/>
    <w:rsid w:val="00381D7F"/>
    <w:rsid w:val="003910B9"/>
    <w:rsid w:val="00392748"/>
    <w:rsid w:val="00395631"/>
    <w:rsid w:val="003965AE"/>
    <w:rsid w:val="00397FE1"/>
    <w:rsid w:val="003A4903"/>
    <w:rsid w:val="003A764E"/>
    <w:rsid w:val="003B1B4F"/>
    <w:rsid w:val="003B212F"/>
    <w:rsid w:val="003B7856"/>
    <w:rsid w:val="003C1D54"/>
    <w:rsid w:val="003C2BCE"/>
    <w:rsid w:val="003C2F9B"/>
    <w:rsid w:val="003C33CD"/>
    <w:rsid w:val="003C4871"/>
    <w:rsid w:val="003C5A62"/>
    <w:rsid w:val="003C6C92"/>
    <w:rsid w:val="003D31C1"/>
    <w:rsid w:val="003D3812"/>
    <w:rsid w:val="003D45CB"/>
    <w:rsid w:val="003D4E57"/>
    <w:rsid w:val="003D5370"/>
    <w:rsid w:val="003F22F7"/>
    <w:rsid w:val="003F564E"/>
    <w:rsid w:val="003F7610"/>
    <w:rsid w:val="0040580C"/>
    <w:rsid w:val="00410EDE"/>
    <w:rsid w:val="00421A4E"/>
    <w:rsid w:val="00422D76"/>
    <w:rsid w:val="00426B06"/>
    <w:rsid w:val="00427116"/>
    <w:rsid w:val="004335CB"/>
    <w:rsid w:val="00434F7E"/>
    <w:rsid w:val="00440FAF"/>
    <w:rsid w:val="00444D42"/>
    <w:rsid w:val="00447E6B"/>
    <w:rsid w:val="00453BE5"/>
    <w:rsid w:val="00455B1D"/>
    <w:rsid w:val="00460ADB"/>
    <w:rsid w:val="00461DE6"/>
    <w:rsid w:val="00462748"/>
    <w:rsid w:val="00472BF5"/>
    <w:rsid w:val="00474688"/>
    <w:rsid w:val="0048515E"/>
    <w:rsid w:val="00485A87"/>
    <w:rsid w:val="00495AFC"/>
    <w:rsid w:val="004A3BA1"/>
    <w:rsid w:val="004A65C4"/>
    <w:rsid w:val="004B1BFA"/>
    <w:rsid w:val="004B3A6B"/>
    <w:rsid w:val="004C0931"/>
    <w:rsid w:val="004C147B"/>
    <w:rsid w:val="004E7F0D"/>
    <w:rsid w:val="004F17DA"/>
    <w:rsid w:val="00504F09"/>
    <w:rsid w:val="00513FFD"/>
    <w:rsid w:val="00523DFE"/>
    <w:rsid w:val="0052482E"/>
    <w:rsid w:val="00525701"/>
    <w:rsid w:val="005403D8"/>
    <w:rsid w:val="00542483"/>
    <w:rsid w:val="00543153"/>
    <w:rsid w:val="00546C4B"/>
    <w:rsid w:val="00546D87"/>
    <w:rsid w:val="005646F8"/>
    <w:rsid w:val="0056730A"/>
    <w:rsid w:val="005748EC"/>
    <w:rsid w:val="00591DAD"/>
    <w:rsid w:val="00593DFD"/>
    <w:rsid w:val="005A3C45"/>
    <w:rsid w:val="005A43F2"/>
    <w:rsid w:val="005A4CB8"/>
    <w:rsid w:val="005A6095"/>
    <w:rsid w:val="005B10C6"/>
    <w:rsid w:val="005B1A4E"/>
    <w:rsid w:val="005C63AF"/>
    <w:rsid w:val="005E45FD"/>
    <w:rsid w:val="005E72C4"/>
    <w:rsid w:val="005F3943"/>
    <w:rsid w:val="00600125"/>
    <w:rsid w:val="00605A49"/>
    <w:rsid w:val="006204FF"/>
    <w:rsid w:val="00621716"/>
    <w:rsid w:val="00636417"/>
    <w:rsid w:val="00642339"/>
    <w:rsid w:val="00645649"/>
    <w:rsid w:val="00645934"/>
    <w:rsid w:val="006513BF"/>
    <w:rsid w:val="00662084"/>
    <w:rsid w:val="006700B1"/>
    <w:rsid w:val="00672C70"/>
    <w:rsid w:val="0067348C"/>
    <w:rsid w:val="00675A12"/>
    <w:rsid w:val="0068775B"/>
    <w:rsid w:val="00693D69"/>
    <w:rsid w:val="00693EED"/>
    <w:rsid w:val="00697E19"/>
    <w:rsid w:val="006A61EA"/>
    <w:rsid w:val="006B14A0"/>
    <w:rsid w:val="006B3113"/>
    <w:rsid w:val="006E29A5"/>
    <w:rsid w:val="006F124B"/>
    <w:rsid w:val="006F322F"/>
    <w:rsid w:val="006F3AB0"/>
    <w:rsid w:val="00711ECB"/>
    <w:rsid w:val="00726F2E"/>
    <w:rsid w:val="00746DA0"/>
    <w:rsid w:val="00751E1A"/>
    <w:rsid w:val="00753EBA"/>
    <w:rsid w:val="0076117B"/>
    <w:rsid w:val="00776CC8"/>
    <w:rsid w:val="00793EEC"/>
    <w:rsid w:val="00795E20"/>
    <w:rsid w:val="007A1637"/>
    <w:rsid w:val="007A7000"/>
    <w:rsid w:val="007B0C3C"/>
    <w:rsid w:val="007B1739"/>
    <w:rsid w:val="007B5262"/>
    <w:rsid w:val="007C52CA"/>
    <w:rsid w:val="007C5369"/>
    <w:rsid w:val="007C564E"/>
    <w:rsid w:val="007D095A"/>
    <w:rsid w:val="007D6D40"/>
    <w:rsid w:val="007E0D9E"/>
    <w:rsid w:val="007E288D"/>
    <w:rsid w:val="007E457E"/>
    <w:rsid w:val="007E7077"/>
    <w:rsid w:val="007F0FAD"/>
    <w:rsid w:val="00801E9E"/>
    <w:rsid w:val="00803844"/>
    <w:rsid w:val="00807683"/>
    <w:rsid w:val="00807A12"/>
    <w:rsid w:val="0081180D"/>
    <w:rsid w:val="00811EF3"/>
    <w:rsid w:val="008215CE"/>
    <w:rsid w:val="0082555E"/>
    <w:rsid w:val="00831BD9"/>
    <w:rsid w:val="008410D8"/>
    <w:rsid w:val="00841547"/>
    <w:rsid w:val="008448DC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843"/>
    <w:rsid w:val="008C1E33"/>
    <w:rsid w:val="008C2FD5"/>
    <w:rsid w:val="008C5278"/>
    <w:rsid w:val="008D75B0"/>
    <w:rsid w:val="008D7BF1"/>
    <w:rsid w:val="008E0DC8"/>
    <w:rsid w:val="008E3988"/>
    <w:rsid w:val="008F18E7"/>
    <w:rsid w:val="008F5FCD"/>
    <w:rsid w:val="00905766"/>
    <w:rsid w:val="009063C3"/>
    <w:rsid w:val="009210D3"/>
    <w:rsid w:val="00921698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77EDB"/>
    <w:rsid w:val="009948D6"/>
    <w:rsid w:val="009B2385"/>
    <w:rsid w:val="009B57D4"/>
    <w:rsid w:val="009C5EB2"/>
    <w:rsid w:val="009C77A7"/>
    <w:rsid w:val="009F2BAD"/>
    <w:rsid w:val="00A0711B"/>
    <w:rsid w:val="00A124D7"/>
    <w:rsid w:val="00A157AB"/>
    <w:rsid w:val="00A15EBC"/>
    <w:rsid w:val="00A17296"/>
    <w:rsid w:val="00A23569"/>
    <w:rsid w:val="00A25E2D"/>
    <w:rsid w:val="00A266B6"/>
    <w:rsid w:val="00A34715"/>
    <w:rsid w:val="00A36CD4"/>
    <w:rsid w:val="00A4776C"/>
    <w:rsid w:val="00A5217B"/>
    <w:rsid w:val="00A52C30"/>
    <w:rsid w:val="00A53481"/>
    <w:rsid w:val="00A56E1C"/>
    <w:rsid w:val="00A71643"/>
    <w:rsid w:val="00A80F60"/>
    <w:rsid w:val="00A868C8"/>
    <w:rsid w:val="00A95527"/>
    <w:rsid w:val="00AA353B"/>
    <w:rsid w:val="00AB08C3"/>
    <w:rsid w:val="00AB1442"/>
    <w:rsid w:val="00AB46EF"/>
    <w:rsid w:val="00AC2D9E"/>
    <w:rsid w:val="00AD16F7"/>
    <w:rsid w:val="00AD2974"/>
    <w:rsid w:val="00AE182C"/>
    <w:rsid w:val="00AE60FE"/>
    <w:rsid w:val="00B00B2A"/>
    <w:rsid w:val="00B01A5C"/>
    <w:rsid w:val="00B0479E"/>
    <w:rsid w:val="00B06216"/>
    <w:rsid w:val="00B279AB"/>
    <w:rsid w:val="00B3731F"/>
    <w:rsid w:val="00B41CF7"/>
    <w:rsid w:val="00B47244"/>
    <w:rsid w:val="00B55DF2"/>
    <w:rsid w:val="00B65BE2"/>
    <w:rsid w:val="00B71849"/>
    <w:rsid w:val="00B77C2D"/>
    <w:rsid w:val="00B9168A"/>
    <w:rsid w:val="00BB18EB"/>
    <w:rsid w:val="00BC3A20"/>
    <w:rsid w:val="00BC74FB"/>
    <w:rsid w:val="00BD4694"/>
    <w:rsid w:val="00BD5001"/>
    <w:rsid w:val="00BD6CE1"/>
    <w:rsid w:val="00BF08B3"/>
    <w:rsid w:val="00BF7D18"/>
    <w:rsid w:val="00C017E6"/>
    <w:rsid w:val="00C03503"/>
    <w:rsid w:val="00C114CF"/>
    <w:rsid w:val="00C133F0"/>
    <w:rsid w:val="00C17202"/>
    <w:rsid w:val="00C32178"/>
    <w:rsid w:val="00C34C33"/>
    <w:rsid w:val="00C4717D"/>
    <w:rsid w:val="00C53C1D"/>
    <w:rsid w:val="00C8294B"/>
    <w:rsid w:val="00C931D2"/>
    <w:rsid w:val="00C96CEF"/>
    <w:rsid w:val="00CA2359"/>
    <w:rsid w:val="00CA5AE7"/>
    <w:rsid w:val="00CB2A9B"/>
    <w:rsid w:val="00CC223F"/>
    <w:rsid w:val="00CC3562"/>
    <w:rsid w:val="00CC73F1"/>
    <w:rsid w:val="00CF0FEB"/>
    <w:rsid w:val="00D20D4C"/>
    <w:rsid w:val="00D4542E"/>
    <w:rsid w:val="00D47547"/>
    <w:rsid w:val="00D500DF"/>
    <w:rsid w:val="00D50656"/>
    <w:rsid w:val="00D52BB4"/>
    <w:rsid w:val="00D56CAC"/>
    <w:rsid w:val="00D60768"/>
    <w:rsid w:val="00D6328B"/>
    <w:rsid w:val="00D6663E"/>
    <w:rsid w:val="00D71DEF"/>
    <w:rsid w:val="00D7390F"/>
    <w:rsid w:val="00D81C1F"/>
    <w:rsid w:val="00D86D80"/>
    <w:rsid w:val="00D90E79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4441"/>
    <w:rsid w:val="00E04F79"/>
    <w:rsid w:val="00E070E3"/>
    <w:rsid w:val="00E123FE"/>
    <w:rsid w:val="00E179BB"/>
    <w:rsid w:val="00E2636E"/>
    <w:rsid w:val="00E305FB"/>
    <w:rsid w:val="00E311F1"/>
    <w:rsid w:val="00E53F5B"/>
    <w:rsid w:val="00E540BD"/>
    <w:rsid w:val="00E54FD7"/>
    <w:rsid w:val="00E55DE4"/>
    <w:rsid w:val="00E572E5"/>
    <w:rsid w:val="00E611FC"/>
    <w:rsid w:val="00E6253C"/>
    <w:rsid w:val="00E63053"/>
    <w:rsid w:val="00E66A33"/>
    <w:rsid w:val="00E66C3C"/>
    <w:rsid w:val="00E7138C"/>
    <w:rsid w:val="00E7141B"/>
    <w:rsid w:val="00E72AC0"/>
    <w:rsid w:val="00E72DF6"/>
    <w:rsid w:val="00E778B0"/>
    <w:rsid w:val="00E85F89"/>
    <w:rsid w:val="00E86834"/>
    <w:rsid w:val="00E91605"/>
    <w:rsid w:val="00E95942"/>
    <w:rsid w:val="00EA108A"/>
    <w:rsid w:val="00EA3EF3"/>
    <w:rsid w:val="00EB3E83"/>
    <w:rsid w:val="00EB4522"/>
    <w:rsid w:val="00EB69F5"/>
    <w:rsid w:val="00EB6F5A"/>
    <w:rsid w:val="00EC11CC"/>
    <w:rsid w:val="00EC6568"/>
    <w:rsid w:val="00ED0CD1"/>
    <w:rsid w:val="00ED1A35"/>
    <w:rsid w:val="00ED37F9"/>
    <w:rsid w:val="00EF4C8F"/>
    <w:rsid w:val="00F037BA"/>
    <w:rsid w:val="00F11FFC"/>
    <w:rsid w:val="00F13A2F"/>
    <w:rsid w:val="00F170B2"/>
    <w:rsid w:val="00F178DE"/>
    <w:rsid w:val="00F22FDD"/>
    <w:rsid w:val="00F26FD3"/>
    <w:rsid w:val="00F40D2C"/>
    <w:rsid w:val="00F40ED7"/>
    <w:rsid w:val="00F44678"/>
    <w:rsid w:val="00F46971"/>
    <w:rsid w:val="00F5177C"/>
    <w:rsid w:val="00F5204C"/>
    <w:rsid w:val="00F55AB5"/>
    <w:rsid w:val="00F55BEB"/>
    <w:rsid w:val="00F620C8"/>
    <w:rsid w:val="00F62FE3"/>
    <w:rsid w:val="00F64F30"/>
    <w:rsid w:val="00F65B3C"/>
    <w:rsid w:val="00F87A3E"/>
    <w:rsid w:val="00F943CF"/>
    <w:rsid w:val="00FA1B74"/>
    <w:rsid w:val="00FB6552"/>
    <w:rsid w:val="00FD1C34"/>
    <w:rsid w:val="00FD4267"/>
    <w:rsid w:val="00FD5573"/>
    <w:rsid w:val="00FD6352"/>
    <w:rsid w:val="00FE5263"/>
    <w:rsid w:val="00FE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E"/>
  </w:style>
  <w:style w:type="paragraph" w:styleId="Footer">
    <w:name w:val="footer"/>
    <w:basedOn w:val="Normal"/>
    <w:link w:val="Foot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dec2018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2016-2018թթ. /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դեկտեմբեր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5126886696331246"/>
          <c:y val="0.25903944298629333"/>
          <c:w val="0.5342438281754559"/>
          <c:h val="0.63403178769320512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9.858962070382038E-2"/>
                  <c:y val="-4.1666666666666623E-2"/>
                </c:manualLayout>
              </c:layout>
              <c:showVal val="1"/>
            </c:dLbl>
            <c:dLbl>
              <c:idx val="1"/>
              <c:layout>
                <c:manualLayout>
                  <c:x val="-0.1040668218540326"/>
                  <c:y val="-6.0185185185185133E-2"/>
                </c:manualLayout>
              </c:layout>
              <c:showVal val="1"/>
            </c:dLbl>
            <c:dLbl>
              <c:idx val="2"/>
              <c:layout>
                <c:manualLayout>
                  <c:x val="-8.4896617828289764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Sheet1!$C$3:$E$3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Sheet1!$C$4:$E$4</c:f>
              <c:numCache>
                <c:formatCode>#,##0.00</c:formatCode>
                <c:ptCount val="3"/>
                <c:pt idx="0" formatCode="_(* #,##0.00_);_(* \(#,##0.00\);_(* &quot;-&quot;??_);_(@_)">
                  <c:v>2875.61733119578</c:v>
                </c:pt>
                <c:pt idx="1">
                  <c:v>3279.5859263171801</c:v>
                </c:pt>
                <c:pt idx="2">
                  <c:v>3348.9505819518899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9.3112419553608106E-2"/>
                  <c:y val="5.5555555555555539E-2"/>
                </c:manualLayout>
              </c:layout>
              <c:showVal val="1"/>
            </c:dLbl>
            <c:dLbl>
              <c:idx val="1"/>
              <c:layout>
                <c:manualLayout>
                  <c:x val="-7.1203614952759134E-2"/>
                  <c:y val="4.6296296296296301E-2"/>
                </c:manualLayout>
              </c:layout>
              <c:showVal val="1"/>
            </c:dLbl>
            <c:dLbl>
              <c:idx val="2"/>
              <c:layout>
                <c:manualLayout>
                  <c:x val="-6.5726413802546929E-2"/>
                  <c:y val="5.555555555555553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Sheet1!$C$3:$E$3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Sheet1!$C$5:$E$5</c:f>
              <c:numCache>
                <c:formatCode>#,##0.00</c:formatCode>
                <c:ptCount val="3"/>
                <c:pt idx="0" formatCode="_(* #,##0.00_);_(* \(#,##0.00\);_(* &quot;-&quot;??_);_(@_)">
                  <c:v>2631.3899476757501</c:v>
                </c:pt>
                <c:pt idx="1">
                  <c:v>2988.3796274422402</c:v>
                </c:pt>
                <c:pt idx="2">
                  <c:v>3082.8664640448096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0.10680542242913872"/>
                  <c:y val="-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-8.2158017253183613E-2"/>
                  <c:y val="-6.0185185185185168E-2"/>
                </c:manualLayout>
              </c:layout>
              <c:showVal val="1"/>
            </c:dLbl>
            <c:dLbl>
              <c:idx val="2"/>
              <c:layout>
                <c:manualLayout>
                  <c:x val="-5.7510612077228546E-2"/>
                  <c:y val="-6.48148148148147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Sheet1!$C$3:$E$3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Sheet1!$C$6:$E$6</c:f>
              <c:numCache>
                <c:formatCode>0.00;[Red]0.00</c:formatCode>
                <c:ptCount val="3"/>
                <c:pt idx="0">
                  <c:v>244.22738352002699</c:v>
                </c:pt>
                <c:pt idx="1">
                  <c:v>291.206298874943</c:v>
                </c:pt>
                <c:pt idx="2">
                  <c:v>266.08411790707481</c:v>
                </c:pt>
              </c:numCache>
            </c:numRef>
          </c:val>
        </c:ser>
        <c:dLbls>
          <c:showVal val="1"/>
        </c:dLbls>
        <c:marker val="1"/>
        <c:axId val="131353216"/>
        <c:axId val="131383296"/>
      </c:lineChart>
      <c:catAx>
        <c:axId val="1313532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1383296"/>
        <c:crosses val="autoZero"/>
        <c:auto val="1"/>
        <c:lblAlgn val="ctr"/>
        <c:lblOffset val="100"/>
      </c:catAx>
      <c:valAx>
        <c:axId val="131383296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135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72849686408689"/>
          <c:y val="0.26242782152230976"/>
          <c:w val="0.30353290256080723"/>
          <c:h val="0.6364865850102068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1000" b="1" i="0" baseline="0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0731052984574109E-2"/>
          <c:y val="0.30279768840554122"/>
          <c:w val="0.98926894701542578"/>
          <c:h val="0.54497510681120021"/>
        </c:manualLayout>
      </c:layout>
      <c:barChart>
        <c:barDir val="col"/>
        <c:grouping val="stacked"/>
        <c:ser>
          <c:idx val="0"/>
          <c:order val="0"/>
          <c:tx>
            <c:strRef>
              <c:f>Sheet1!$B$115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01.01.2016-31.12.2016</c:v>
                </c:pt>
                <c:pt idx="1">
                  <c:v>01.01.2017-31.12.2017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Sheet1!$C$115:$E$115</c:f>
              <c:numCache>
                <c:formatCode>0.00;[Red]0.00</c:formatCode>
                <c:ptCount val="3"/>
                <c:pt idx="0" formatCode="0.00">
                  <c:v>171.0061828469</c:v>
                </c:pt>
                <c:pt idx="1">
                  <c:v>45.722761242000011</c:v>
                </c:pt>
                <c:pt idx="2" formatCode="0.00">
                  <c:v>47.976031463099993</c:v>
                </c:pt>
              </c:numCache>
            </c:numRef>
          </c:val>
        </c:ser>
        <c:ser>
          <c:idx val="1"/>
          <c:order val="1"/>
          <c:tx>
            <c:strRef>
              <c:f>Sheet1!$B$116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01.01.2016-31.12.2016</c:v>
                </c:pt>
                <c:pt idx="1">
                  <c:v>01.01.2017-31.12.2017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Sheet1!$C$116:$E$116</c:f>
              <c:numCache>
                <c:formatCode>#,##0.00;[Red]#,##0.00</c:formatCode>
                <c:ptCount val="3"/>
                <c:pt idx="0" formatCode="0.00">
                  <c:v>238.39872598855302</c:v>
                </c:pt>
                <c:pt idx="1">
                  <c:v>233.00631427419296</c:v>
                </c:pt>
                <c:pt idx="2" formatCode="0.00">
                  <c:v>85.318409248847217</c:v>
                </c:pt>
              </c:numCache>
            </c:numRef>
          </c:val>
        </c:ser>
        <c:dLbls>
          <c:showVal val="1"/>
        </c:dLbls>
        <c:gapWidth val="95"/>
        <c:overlap val="100"/>
        <c:axId val="133320064"/>
        <c:axId val="133334144"/>
      </c:barChart>
      <c:catAx>
        <c:axId val="1333200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3334144"/>
        <c:crosses val="autoZero"/>
        <c:auto val="1"/>
        <c:lblAlgn val="ctr"/>
        <c:lblOffset val="100"/>
      </c:catAx>
      <c:valAx>
        <c:axId val="133334144"/>
        <c:scaling>
          <c:orientation val="minMax"/>
        </c:scaling>
        <c:delete val="1"/>
        <c:axPos val="l"/>
        <c:numFmt formatCode="0.00" sourceLinked="1"/>
        <c:tickLblPos val="nextTo"/>
        <c:crossAx val="133320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1064180357736958E-2"/>
          <c:y val="0.21261584454409571"/>
          <c:w val="0.96982313830489519"/>
          <c:h val="8.1480644515848036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10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10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2.920870950610728E-2"/>
          <c:y val="0.2209936589784684"/>
          <c:w val="0.94158258098778536"/>
          <c:h val="0.65920299785535652"/>
        </c:manualLayout>
      </c:layout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dLbl>
              <c:idx val="0"/>
              <c:layout>
                <c:manualLayout>
                  <c:x val="-5.3106744556558703E-3"/>
                  <c:y val="1.966568338249754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573254670599803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01.01.2016 - 31.12.2016</c:v>
                </c:pt>
                <c:pt idx="1">
                  <c:v>01.01.2017 - 31.12.2017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Sheet1!$C$105:$E$105</c:f>
              <c:numCache>
                <c:formatCode>#,##0.00;[Red]#,##0.00</c:formatCode>
                <c:ptCount val="3"/>
                <c:pt idx="0" formatCode="0.00;[Red]0.00">
                  <c:v>53.0266227059005</c:v>
                </c:pt>
                <c:pt idx="1">
                  <c:v>68.699483043000001</c:v>
                </c:pt>
                <c:pt idx="2" formatCode="0.00;[Red]0.00">
                  <c:v>89.037277119999985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01.01.2016 - 31.12.2016</c:v>
                </c:pt>
                <c:pt idx="1">
                  <c:v>01.01.2017 - 31.12.2017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Sheet1!$C$106:$E$106</c:f>
              <c:numCache>
                <c:formatCode>0.00;[Red]0.00</c:formatCode>
                <c:ptCount val="3"/>
                <c:pt idx="0">
                  <c:v>71.061572337592068</c:v>
                </c:pt>
                <c:pt idx="1">
                  <c:v>100.48931811352597</c:v>
                </c:pt>
                <c:pt idx="2">
                  <c:v>141.76424294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01.01.2016 - 31.12.2016</c:v>
                </c:pt>
                <c:pt idx="1">
                  <c:v>01.01.2017 - 31.12.2017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Sheet1!$C$107:$E$107</c:f>
              <c:numCache>
                <c:formatCode>0.00;[Red]0.00</c:formatCode>
                <c:ptCount val="3"/>
                <c:pt idx="0">
                  <c:v>570.89614221199997</c:v>
                </c:pt>
                <c:pt idx="1">
                  <c:v>584.55596904799984</c:v>
                </c:pt>
                <c:pt idx="2">
                  <c:v>319.72361511399993</c:v>
                </c:pt>
              </c:numCache>
            </c:numRef>
          </c:val>
        </c:ser>
        <c:dLbls>
          <c:showVal val="1"/>
        </c:dLbls>
        <c:overlap val="-25"/>
        <c:axId val="133352832"/>
        <c:axId val="133497984"/>
      </c:barChart>
      <c:catAx>
        <c:axId val="1333528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3497984"/>
        <c:crosses val="autoZero"/>
        <c:auto val="1"/>
        <c:lblAlgn val="ctr"/>
        <c:lblOffset val="100"/>
      </c:catAx>
      <c:valAx>
        <c:axId val="133497984"/>
        <c:scaling>
          <c:orientation val="minMax"/>
        </c:scaling>
        <c:delete val="1"/>
        <c:axPos val="l"/>
        <c:numFmt formatCode="0.00;[Red]0.00" sourceLinked="1"/>
        <c:tickLblPos val="nextTo"/>
        <c:crossAx val="133352832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10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1000" b="0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0973936899862825E-2"/>
          <c:y val="0.22154429811317836"/>
          <c:w val="0.98902606310013719"/>
          <c:h val="0.65070401598030359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01.01.2016 - 31.12.2016</c:v>
                </c:pt>
                <c:pt idx="1">
                  <c:v>01.01.2017 - 31.12.2017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Sheet1!$C$126:$E$126</c:f>
              <c:numCache>
                <c:formatCode>0.00</c:formatCode>
                <c:ptCount val="3"/>
                <c:pt idx="0">
                  <c:v>124.08819504349258</c:v>
                </c:pt>
                <c:pt idx="1">
                  <c:v>169.18880115652601</c:v>
                </c:pt>
                <c:pt idx="2">
                  <c:v>230.80152006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01.01.2016 - 31.12.2016</c:v>
                </c:pt>
                <c:pt idx="1">
                  <c:v>01.01.2017 - 31.12.2017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Sheet1!$C$127:$E$127</c:f>
              <c:numCache>
                <c:formatCode>0.00;[Red]0.00</c:formatCode>
                <c:ptCount val="3"/>
                <c:pt idx="0">
                  <c:v>570.89614221199997</c:v>
                </c:pt>
                <c:pt idx="1">
                  <c:v>584.55596904799984</c:v>
                </c:pt>
                <c:pt idx="2">
                  <c:v>319.72361511399993</c:v>
                </c:pt>
              </c:numCache>
            </c:numRef>
          </c:val>
        </c:ser>
        <c:dLbls>
          <c:showVal val="1"/>
        </c:dLbls>
        <c:overlap val="-25"/>
        <c:axId val="133544192"/>
        <c:axId val="133566464"/>
      </c:barChart>
      <c:catAx>
        <c:axId val="1335441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3566464"/>
        <c:crosses val="autoZero"/>
        <c:auto val="1"/>
        <c:lblAlgn val="ctr"/>
        <c:lblOffset val="100"/>
      </c:catAx>
      <c:valAx>
        <c:axId val="133566464"/>
        <c:scaling>
          <c:orientation val="minMax"/>
        </c:scaling>
        <c:delete val="1"/>
        <c:axPos val="l"/>
        <c:numFmt formatCode="0.00" sourceLinked="1"/>
        <c:tickLblPos val="nextTo"/>
        <c:crossAx val="133544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6401179941002952"/>
          <c:w val="0.9970767851549418"/>
          <c:h val="4.9816427813779936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Sheet1!$B$195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Sheet1!$C$194:$E$194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Sheet1!$C$195:$E$195</c:f>
              <c:numCache>
                <c:formatCode>#,##0.00_);\(#,##0.00\)</c:formatCode>
                <c:ptCount val="3"/>
                <c:pt idx="0">
                  <c:v>508.33326899999992</c:v>
                </c:pt>
                <c:pt idx="1">
                  <c:v>549.73017000000004</c:v>
                </c:pt>
                <c:pt idx="2" formatCode="0.00;[Red]0.00">
                  <c:v>588.11148800000001</c:v>
                </c:pt>
              </c:numCache>
            </c:numRef>
          </c:val>
        </c:ser>
        <c:dLbls>
          <c:showVal val="1"/>
        </c:dLbls>
        <c:marker val="1"/>
        <c:axId val="133582848"/>
        <c:axId val="133584384"/>
      </c:lineChart>
      <c:catAx>
        <c:axId val="133582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3584384"/>
        <c:crosses val="autoZero"/>
        <c:auto val="1"/>
        <c:lblAlgn val="ctr"/>
        <c:lblOffset val="100"/>
      </c:catAx>
      <c:valAx>
        <c:axId val="133584384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358284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Sheet1!$B$214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0.1124828532235939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737242128121607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Sheet1!$C$213:$E$213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Sheet1!$C$214:$E$214</c:f>
              <c:numCache>
                <c:formatCode>0</c:formatCode>
                <c:ptCount val="3"/>
                <c:pt idx="0">
                  <c:v>2208.32675776726</c:v>
                </c:pt>
                <c:pt idx="1">
                  <c:v>2787.4616453650397</c:v>
                </c:pt>
                <c:pt idx="2" formatCode="0;[Red]0">
                  <c:v>3308</c:v>
                </c:pt>
              </c:numCache>
            </c:numRef>
          </c:val>
        </c:ser>
        <c:dLbls>
          <c:showVal val="1"/>
        </c:dLbls>
        <c:marker val="1"/>
        <c:axId val="133596288"/>
        <c:axId val="133597824"/>
      </c:lineChart>
      <c:catAx>
        <c:axId val="1335962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3597824"/>
        <c:crosses val="autoZero"/>
        <c:auto val="1"/>
        <c:lblAlgn val="ctr"/>
        <c:lblOffset val="100"/>
      </c:catAx>
      <c:valAx>
        <c:axId val="133597824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35962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en-US" sz="1000" b="1" i="0" baseline="0">
                <a:latin typeface="GHEA Grapalat" pitchFamily="50" charset="0"/>
              </a:rPr>
              <a:t>Կ</a:t>
            </a:r>
            <a:r>
              <a:rPr lang="hy-AM" sz="1000" b="1" i="0" baseline="0">
                <a:latin typeface="GHEA Grapalat" pitchFamily="50" charset="0"/>
              </a:rPr>
              <a:t>առավարության պարտքի կառուցվածքն ըստ տոկոսադրույքի, %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2184273840769905"/>
          <c:y val="0.25655910658226544"/>
          <c:w val="0.56078018372703398"/>
          <c:h val="0.62369855728818246"/>
        </c:manualLayout>
      </c:layout>
      <c:barChart>
        <c:barDir val="col"/>
        <c:grouping val="stacked"/>
        <c:ser>
          <c:idx val="0"/>
          <c:order val="0"/>
          <c:tx>
            <c:strRef>
              <c:f>Sheet1!$B$46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Sheet1!$C$45:$E$45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Sheet1!$C$46:$E$46</c:f>
              <c:numCache>
                <c:formatCode>#,##0.00;[Red]#,##0.00</c:formatCode>
                <c:ptCount val="3"/>
                <c:pt idx="0">
                  <c:v>12.480910826342594</c:v>
                </c:pt>
                <c:pt idx="1">
                  <c:v>13.482398694485996</c:v>
                </c:pt>
                <c:pt idx="2">
                  <c:v>15.022181068954495</c:v>
                </c:pt>
              </c:numCache>
            </c:numRef>
          </c:val>
        </c:ser>
        <c:ser>
          <c:idx val="1"/>
          <c:order val="1"/>
          <c:tx>
            <c:strRef>
              <c:f>Sheet1!$B$47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Sheet1!$C$45:$E$45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Sheet1!$C$47:$E$47</c:f>
              <c:numCache>
                <c:formatCode>0.00;[Red]0.00</c:formatCode>
                <c:ptCount val="3"/>
                <c:pt idx="0">
                  <c:v>87.519089173657392</c:v>
                </c:pt>
                <c:pt idx="1">
                  <c:v>86.517601305514006</c:v>
                </c:pt>
                <c:pt idx="2">
                  <c:v>84.977818931045505</c:v>
                </c:pt>
              </c:numCache>
            </c:numRef>
          </c:val>
        </c:ser>
        <c:gapWidth val="55"/>
        <c:overlap val="100"/>
        <c:axId val="133918080"/>
        <c:axId val="133956736"/>
      </c:barChart>
      <c:catAx>
        <c:axId val="1339180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3956736"/>
        <c:crosses val="autoZero"/>
        <c:auto val="1"/>
        <c:lblAlgn val="ctr"/>
        <c:lblOffset val="100"/>
      </c:catAx>
      <c:valAx>
        <c:axId val="133956736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3391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2735651701042723E-2"/>
          <c:y val="0.15630511583975881"/>
          <c:w val="0.84450888670628643"/>
          <c:h val="7.2528433945756796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9.2111294307389652E-2"/>
          <c:y val="0.21555555555555556"/>
          <c:w val="0.63081046376052319"/>
          <c:h val="0.64342592592592596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dLbl>
              <c:idx val="0"/>
              <c:layout>
                <c:manualLayout>
                  <c:x val="-5.2185257664709717E-3"/>
                  <c:y val="1.742919389978214E-2"/>
                </c:manualLayout>
              </c:layout>
              <c:showVal val="1"/>
            </c:dLbl>
            <c:dLbl>
              <c:idx val="1"/>
              <c:layout>
                <c:manualLayout>
                  <c:x val="-2.6092628832354381E-3"/>
                  <c:y val="8.7145969498910701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Sheet1!$C$3:$E$3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Sheet1!$C$4:$E$4</c:f>
              <c:numCache>
                <c:formatCode>0.00;[Red]0.00</c:formatCode>
                <c:ptCount val="3"/>
                <c:pt idx="0">
                  <c:v>9.2252685835534258</c:v>
                </c:pt>
                <c:pt idx="1">
                  <c:v>8.9859473940236221</c:v>
                </c:pt>
                <c:pt idx="2">
                  <c:v>8.69</c:v>
                </c:pt>
              </c:numCache>
            </c:numRef>
          </c:val>
        </c:ser>
        <c:axId val="133964928"/>
        <c:axId val="133966464"/>
      </c:barChart>
      <c:catAx>
        <c:axId val="1339649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3966464"/>
        <c:crosses val="autoZero"/>
        <c:auto val="1"/>
        <c:lblAlgn val="ctr"/>
        <c:lblOffset val="100"/>
      </c:catAx>
      <c:valAx>
        <c:axId val="133966464"/>
        <c:scaling>
          <c:orientation val="minMax"/>
          <c:max val="11"/>
          <c:min val="1"/>
        </c:scaling>
        <c:axPos val="l"/>
        <c:majorGridlines/>
        <c:numFmt formatCode="0.00;[Red]0.00" sourceLinked="1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33964928"/>
        <c:crosses val="autoZero"/>
        <c:crossBetween val="between"/>
        <c:majorUnit val="1"/>
      </c:valAx>
    </c:plotArea>
    <c:plotVisOnly val="1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1000">
                <a:latin typeface="GHEA Grapalat" pitchFamily="50" charset="0"/>
              </a:rPr>
              <a:t>Առաջիկա 365 օրվա ընթացքում մարման ենթակա ՀՀ կառավարության պարտքի տեսակարար կշիռը (պետական գանձապետական պարատոմսերի գծով), %</a:t>
            </a:r>
          </a:p>
        </c:rich>
      </c:tx>
    </c:title>
    <c:plotArea>
      <c:layout>
        <c:manualLayout>
          <c:layoutTarget val="inner"/>
          <c:xMode val="edge"/>
          <c:yMode val="edge"/>
          <c:x val="0.10855774278215224"/>
          <c:y val="0.24230797882937899"/>
          <c:w val="0.65533114610673671"/>
          <c:h val="0.6073175506527031"/>
        </c:manualLayout>
      </c:layout>
      <c:barChart>
        <c:barDir val="col"/>
        <c:grouping val="clustered"/>
        <c:ser>
          <c:idx val="0"/>
          <c:order val="0"/>
          <c:tx>
            <c:strRef>
              <c:f>Sheet1!$B$25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002200220022011E-2"/>
                </c:manualLayout>
              </c:layout>
              <c:showVal val="1"/>
            </c:dLbl>
            <c:dLbl>
              <c:idx val="1"/>
              <c:layout>
                <c:manualLayout>
                  <c:x val="5.0925337632080008E-17"/>
                  <c:y val="1.7601760176017601E-2"/>
                </c:manualLayout>
              </c:layout>
              <c:showVal val="1"/>
            </c:dLbl>
            <c:dLbl>
              <c:idx val="2"/>
              <c:layout>
                <c:manualLayout>
                  <c:x val="5.5555555555555558E-3"/>
                  <c:y val="2.64026402640264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Sheet1!$C$24:$E$24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Sheet1!$C$25:$E$25</c:f>
              <c:numCache>
                <c:formatCode>0.00;[Red]0.00</c:formatCode>
                <c:ptCount val="3"/>
                <c:pt idx="0">
                  <c:v>22.854322761235601</c:v>
                </c:pt>
                <c:pt idx="1">
                  <c:v>16.377639253965292</c:v>
                </c:pt>
                <c:pt idx="2">
                  <c:v>12.9</c:v>
                </c:pt>
              </c:numCache>
            </c:numRef>
          </c:val>
        </c:ser>
        <c:axId val="134101248"/>
        <c:axId val="134168576"/>
      </c:barChart>
      <c:catAx>
        <c:axId val="1341012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4168576"/>
        <c:crosses val="autoZero"/>
        <c:auto val="1"/>
        <c:lblAlgn val="ctr"/>
        <c:lblOffset val="100"/>
      </c:catAx>
      <c:valAx>
        <c:axId val="134168576"/>
        <c:scaling>
          <c:orientation val="minMax"/>
        </c:scaling>
        <c:axPos val="l"/>
        <c:majorGridlines/>
        <c:numFmt formatCode="0.00;[Red]0.00" sourceLinked="1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34101248"/>
        <c:crosses val="autoZero"/>
        <c:crossBetween val="between"/>
      </c:valAx>
    </c:plotArea>
    <c:plotVisOnly val="1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1000" b="1" i="0" u="none" strike="noStrike" baseline="0">
                <a:latin typeface="GHEA Grapalat" pitchFamily="50" charset="0"/>
              </a:rPr>
              <a:t>Կառավարության ներքին  և արտաքին պարտքի կշիռները, %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460458524555777"/>
          <c:y val="0.14373015254281341"/>
          <c:w val="0.57768875381805351"/>
          <c:h val="0.66172050275893746"/>
        </c:manualLayout>
      </c:layout>
      <c:barChart>
        <c:barDir val="col"/>
        <c:grouping val="stacked"/>
        <c:ser>
          <c:idx val="0"/>
          <c:order val="0"/>
          <c:tx>
            <c:strRef>
              <c:f>Sheet1!$B$71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Sheet1!$C$71:$E$71</c:f>
              <c:numCache>
                <c:formatCode>0.00;[Red]0.00</c:formatCode>
                <c:ptCount val="3"/>
                <c:pt idx="0">
                  <c:v>20.901552884087096</c:v>
                </c:pt>
                <c:pt idx="1">
                  <c:v>20.730376680461998</c:v>
                </c:pt>
                <c:pt idx="2">
                  <c:v>21.811492816392299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Sheet1!$C$72:$E$72</c:f>
              <c:numCache>
                <c:formatCode>#,##0.00;[Red]#,##0.00</c:formatCode>
                <c:ptCount val="3"/>
                <c:pt idx="0">
                  <c:v>79.09844711591289</c:v>
                </c:pt>
                <c:pt idx="1">
                  <c:v>79.269623319538013</c:v>
                </c:pt>
                <c:pt idx="2">
                  <c:v>78.188507183607669</c:v>
                </c:pt>
              </c:numCache>
            </c:numRef>
          </c:val>
        </c:ser>
        <c:gapWidth val="55"/>
        <c:overlap val="100"/>
        <c:axId val="134300416"/>
        <c:axId val="134301952"/>
      </c:barChart>
      <c:catAx>
        <c:axId val="1343004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4301952"/>
        <c:crosses val="autoZero"/>
        <c:auto val="1"/>
        <c:lblAlgn val="ctr"/>
        <c:lblOffset val="100"/>
      </c:catAx>
      <c:valAx>
        <c:axId val="134301952"/>
        <c:scaling>
          <c:orientation val="minMax"/>
          <c:max val="100"/>
          <c:min val="0"/>
        </c:scaling>
        <c:axPos val="l"/>
        <c:majorGridlines/>
        <c:numFmt formatCode="0.00;[Red]0.0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34300416"/>
        <c:crosses val="autoZero"/>
        <c:crossBetween val="between"/>
        <c:majorUnit val="20"/>
        <c:minorUnit val="20"/>
      </c:valAx>
    </c:plotArea>
    <c:legend>
      <c:legendPos val="r"/>
      <c:layout>
        <c:manualLayout>
          <c:xMode val="edge"/>
          <c:yMode val="edge"/>
          <c:x val="3.1146106736657931E-3"/>
          <c:y val="0.89084725795414199"/>
          <c:w val="0.97235509304027079"/>
          <c:h val="0.10528659165129113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 թթ. /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դեկտեմբեր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9.2278719397363471E-2"/>
          <c:y val="0.21527777777777779"/>
          <c:w val="0.55303766640820384"/>
          <c:h val="0.69097222222222221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9.9861303744798915E-2"/>
                  <c:y val="-4.6296296296296266E-2"/>
                </c:manualLayout>
              </c:layout>
              <c:showVal val="1"/>
            </c:dLbl>
            <c:dLbl>
              <c:idx val="1"/>
              <c:layout>
                <c:manualLayout>
                  <c:x val="-9.7087378640776642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8.8765603328710155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Sheet1!$C$26:$E$26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Sheet1!$C$27:$E$27</c:f>
              <c:numCache>
                <c:formatCode>#,##0.00</c:formatCode>
                <c:ptCount val="3"/>
                <c:pt idx="0" formatCode="#,##0.00;[Red]#,##0.00">
                  <c:v>5942.0947456208996</c:v>
                </c:pt>
                <c:pt idx="1">
                  <c:v>6774.6042683684809</c:v>
                </c:pt>
                <c:pt idx="2">
                  <c:v>6922.8952598488604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9.1539528432732345E-2"/>
                  <c:y val="6.9444444444444461E-2"/>
                </c:manualLayout>
              </c:layout>
              <c:showVal val="1"/>
            </c:dLbl>
            <c:dLbl>
              <c:idx val="1"/>
              <c:layout>
                <c:manualLayout>
                  <c:x val="-6.934812760055474E-2"/>
                  <c:y val="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6.9348127600554782E-2"/>
                  <c:y val="5.555555555555553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Sheet1!$C$26:$E$26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Sheet1!$C$28:$E$28</c:f>
              <c:numCache>
                <c:formatCode>#,##0.00</c:formatCode>
                <c:ptCount val="3"/>
                <c:pt idx="0" formatCode="#,##0.00;[Red]#,##0.00">
                  <c:v>5437.4301518282191</c:v>
                </c:pt>
                <c:pt idx="1">
                  <c:v>6173.0626470610214</c:v>
                </c:pt>
                <c:pt idx="2">
                  <c:v>6372.8505716688614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0.10818307905686547"/>
                  <c:y val="-1.3888888888888892E-2"/>
                </c:manualLayout>
              </c:layout>
              <c:showVal val="1"/>
            </c:dLbl>
            <c:dLbl>
              <c:idx val="1"/>
              <c:layout>
                <c:manualLayout>
                  <c:x val="-7.2122052704576931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1.6643550624133155E-2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Sheet1!$C$26:$E$26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Sheet1!$C$29:$E$29</c:f>
              <c:numCache>
                <c:formatCode>#,##0.00</c:formatCode>
                <c:ptCount val="3"/>
                <c:pt idx="0" formatCode="#,##0.00;[Red]#,##0.00">
                  <c:v>504.66459379267496</c:v>
                </c:pt>
                <c:pt idx="1">
                  <c:v>601.54162130746386</c:v>
                </c:pt>
                <c:pt idx="2">
                  <c:v>550.04468817999998</c:v>
                </c:pt>
              </c:numCache>
            </c:numRef>
          </c:val>
        </c:ser>
        <c:dLbls>
          <c:showVal val="1"/>
        </c:dLbls>
        <c:marker val="1"/>
        <c:axId val="132143360"/>
        <c:axId val="132187648"/>
      </c:lineChart>
      <c:catAx>
        <c:axId val="132143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2187648"/>
        <c:crosses val="autoZero"/>
        <c:auto val="1"/>
        <c:lblAlgn val="ctr"/>
        <c:lblOffset val="100"/>
      </c:catAx>
      <c:valAx>
        <c:axId val="132187648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214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79246890255219"/>
          <c:y val="0.21698490813648297"/>
          <c:w val="0.30980986599975996"/>
          <c:h val="0.68107611548556435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կառավարության արտաքին, ներքին և ՀՀ ԿԲ արտաքին  պարտքերը 2016-2018թթ. /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դեկտեմբեր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2640753592241646"/>
          <c:y val="0.22615740740740753"/>
          <c:w val="0.5848175865597246"/>
          <c:h val="0.67117308253135066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0.10680542242913872"/>
                  <c:y val="-4.1666666666666713E-2"/>
                </c:manualLayout>
              </c:layout>
              <c:showVal val="1"/>
            </c:dLbl>
            <c:dLbl>
              <c:idx val="1"/>
              <c:layout>
                <c:manualLayout>
                  <c:x val="-7.1203614952759134E-2"/>
                  <c:y val="-5.0925925925925979E-2"/>
                </c:manualLayout>
              </c:layout>
              <c:showVal val="1"/>
            </c:dLbl>
            <c:dLbl>
              <c:idx val="2"/>
              <c:layout>
                <c:manualLayout>
                  <c:x val="-5.7510612077228546E-2"/>
                  <c:y val="-4.629629629629626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Sheet1!$C$48:$E$48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Sheet1!$C$49:$E$49</c:f>
              <c:numCache>
                <c:formatCode>#,##0.00;[Red]#,##0.00</c:formatCode>
                <c:ptCount val="3"/>
                <c:pt idx="0" formatCode="_(* #,##0.00_);_(* \(#,##0.00\);_(* &quot;-&quot;??_);_(@_)">
                  <c:v>2081.3885861757499</c:v>
                </c:pt>
                <c:pt idx="1">
                  <c:v>2368.8772739422407</c:v>
                </c:pt>
                <c:pt idx="2">
                  <c:v>2410.4472667007099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9.858962070382038E-2"/>
                  <c:y val="-3.7037037037037132E-2"/>
                </c:manualLayout>
              </c:layout>
              <c:showVal val="1"/>
            </c:dLbl>
            <c:dLbl>
              <c:idx val="1"/>
              <c:layout>
                <c:manualLayout>
                  <c:x val="-7.668081610297138E-2"/>
                  <c:y val="-5.0925925925925854E-2"/>
                </c:manualLayout>
              </c:layout>
              <c:showVal val="1"/>
            </c:dLbl>
            <c:dLbl>
              <c:idx val="2"/>
              <c:layout>
                <c:manualLayout>
                  <c:x val="-4.929481035191019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Sheet1!$C$48:$E$48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Sheet1!$C$50:$E$50</c:f>
              <c:numCache>
                <c:formatCode>0.00;[Red]0.00</c:formatCode>
                <c:ptCount val="3"/>
                <c:pt idx="0" formatCode="#,##0.00;[Red]#,##0.00">
                  <c:v>550.00136150000003</c:v>
                </c:pt>
                <c:pt idx="1">
                  <c:v>619.50235350000003</c:v>
                </c:pt>
                <c:pt idx="2">
                  <c:v>672.41919734410203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0.1040668218540326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-1.9170204025742845E-2"/>
                  <c:y val="3.7037037037037042E-2"/>
                </c:manualLayout>
              </c:layout>
              <c:showVal val="1"/>
            </c:dLbl>
            <c:dLbl>
              <c:idx val="2"/>
              <c:layout>
                <c:manualLayout>
                  <c:x val="-8.2158017253183627E-3"/>
                  <c:y val="2.77777777777777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Sheet1!$C$48:$E$48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Sheet1!$C$51:$E$51</c:f>
              <c:numCache>
                <c:formatCode>0.00;[Red]0.00</c:formatCode>
                <c:ptCount val="3"/>
                <c:pt idx="0">
                  <c:v>244.22738352002699</c:v>
                </c:pt>
                <c:pt idx="1">
                  <c:v>291.206298874943</c:v>
                </c:pt>
                <c:pt idx="2">
                  <c:v>266.08411790707481</c:v>
                </c:pt>
              </c:numCache>
            </c:numRef>
          </c:val>
        </c:ser>
        <c:dLbls>
          <c:showVal val="1"/>
        </c:dLbls>
        <c:marker val="1"/>
        <c:axId val="134119424"/>
        <c:axId val="134120960"/>
      </c:lineChart>
      <c:catAx>
        <c:axId val="134119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4120960"/>
        <c:crosses val="autoZero"/>
        <c:auto val="1"/>
        <c:lblAlgn val="ctr"/>
        <c:lblOffset val="100"/>
      </c:catAx>
      <c:valAx>
        <c:axId val="134120960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411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94814772485894"/>
          <c:y val="0.22926800816564596"/>
          <c:w val="0.26522699656381105"/>
          <c:h val="0.65188028579760859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կառավարության արտաքին, ներքին և ՀՀ ԿԲ արտաքին պարտքերը 2016-2018թթ. /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դեկտեմբեր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2658232886765933"/>
          <c:y val="0.22200240594925635"/>
          <c:w val="0.5888252317974817"/>
          <c:h val="0.66012722368037346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0.10818307905686547"/>
                  <c:y val="-3.7037037037037042E-2"/>
                </c:manualLayout>
              </c:layout>
              <c:showVal val="1"/>
            </c:dLbl>
            <c:dLbl>
              <c:idx val="1"/>
              <c:layout>
                <c:manualLayout>
                  <c:x val="-9.9861303744798957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8.0443828016643557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Sheet1!$C$71:$E$71</c:f>
              <c:numCache>
                <c:formatCode>#,##0.00</c:formatCode>
                <c:ptCount val="3"/>
                <c:pt idx="0" formatCode="#,##0.00;[Red]#,##0.00">
                  <c:v>4300.9228131085501</c:v>
                </c:pt>
                <c:pt idx="1">
                  <c:v>4893.3635074204503</c:v>
                </c:pt>
                <c:pt idx="2">
                  <c:v>4982.8367270298904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9.4313453536754494E-2"/>
                  <c:y val="-5.092592592592602E-2"/>
                </c:manualLayout>
              </c:layout>
              <c:showVal val="1"/>
            </c:dLbl>
            <c:dLbl>
              <c:idx val="1"/>
              <c:layout>
                <c:manualLayout>
                  <c:x val="-8.0443828016643598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4.1608876560332859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Sheet1!$C$72:$E$72</c:f>
              <c:numCache>
                <c:formatCode>#,##0.00</c:formatCode>
                <c:ptCount val="3"/>
                <c:pt idx="0" formatCode="#,##0.00;[Red]#,##0.00">
                  <c:v>1136.5073387196799</c:v>
                </c:pt>
                <c:pt idx="1">
                  <c:v>1279.6991396405699</c:v>
                </c:pt>
                <c:pt idx="2">
                  <c:v>1390.0138446389697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321775312066574E-3"/>
                  <c:y val="2.777777777777779E-2"/>
                </c:manualLayout>
              </c:layout>
              <c:showVal val="1"/>
            </c:dLbl>
            <c:dLbl>
              <c:idx val="1"/>
              <c:layout>
                <c:manualLayout>
                  <c:x val="-8.321775312066626E-3"/>
                  <c:y val="2.777777777777779E-2"/>
                </c:manualLayout>
              </c:layout>
              <c:showVal val="1"/>
            </c:dLbl>
            <c:dLbl>
              <c:idx val="2"/>
              <c:layout>
                <c:manualLayout>
                  <c:x val="-5.5478502080443829E-3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Sheet1!$C$73:$E$73</c:f>
              <c:numCache>
                <c:formatCode>#,##0.00</c:formatCode>
                <c:ptCount val="3"/>
                <c:pt idx="0" formatCode="#,##0.00;[Red]#,##0.00">
                  <c:v>504.66459379267496</c:v>
                </c:pt>
                <c:pt idx="1">
                  <c:v>601.54162130746386</c:v>
                </c:pt>
                <c:pt idx="2">
                  <c:v>550.04468817999998</c:v>
                </c:pt>
              </c:numCache>
            </c:numRef>
          </c:val>
        </c:ser>
        <c:dLbls>
          <c:showVal val="1"/>
        </c:dLbls>
        <c:marker val="1"/>
        <c:axId val="134161920"/>
        <c:axId val="134163456"/>
      </c:lineChart>
      <c:catAx>
        <c:axId val="134161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4163456"/>
        <c:crosses val="autoZero"/>
        <c:auto val="1"/>
        <c:lblAlgn val="ctr"/>
        <c:lblOffset val="100"/>
      </c:catAx>
      <c:valAx>
        <c:axId val="134163456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4161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7587668046348"/>
          <c:y val="0.22689997083697871"/>
          <c:w val="0.27060840695883887"/>
          <c:h val="0.65661636045494309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316561211413044"/>
          <c:y val="0.25654320987654322"/>
          <c:w val="0.86834387885869579"/>
          <c:h val="0.55543209876543198"/>
        </c:manualLayout>
      </c:layout>
      <c:lineChart>
        <c:grouping val="standard"/>
        <c:ser>
          <c:idx val="0"/>
          <c:order val="0"/>
          <c:tx>
            <c:strRef>
              <c:f>Sheet1!$B$235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3954112437944455"/>
                  <c:y val="-4.9382716049382686E-2"/>
                </c:manualLayout>
              </c:layout>
              <c:showVal val="1"/>
            </c:dLbl>
            <c:dLbl>
              <c:idx val="1"/>
              <c:layout>
                <c:manualLayout>
                  <c:x val="-0.11270629276801292"/>
                  <c:y val="-6.7901234567901245E-2"/>
                </c:manualLayout>
              </c:layout>
              <c:showVal val="1"/>
            </c:dLbl>
            <c:dLbl>
              <c:idx val="2"/>
              <c:layout>
                <c:manualLayout>
                  <c:x val="-8.0504494834295046E-2"/>
                  <c:y val="-6.790123456790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Sheet1!$C$234:$E$234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Sheet1!$C$235:$E$235</c:f>
              <c:numCache>
                <c:formatCode>#,##0.00;[Red]#,##0.00</c:formatCode>
                <c:ptCount val="3"/>
                <c:pt idx="0">
                  <c:v>3379.9525870887901</c:v>
                </c:pt>
                <c:pt idx="1">
                  <c:v>4021.0232631182698</c:v>
                </c:pt>
                <c:pt idx="2">
                  <c:v>4140.0327566800006</c:v>
                </c:pt>
              </c:numCache>
            </c:numRef>
          </c:val>
        </c:ser>
        <c:dLbls>
          <c:showVal val="1"/>
        </c:dLbls>
        <c:marker val="1"/>
        <c:axId val="132120576"/>
        <c:axId val="132122112"/>
      </c:lineChart>
      <c:catAx>
        <c:axId val="132120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2122112"/>
        <c:crosses val="autoZero"/>
        <c:auto val="1"/>
        <c:lblAlgn val="ctr"/>
        <c:lblOffset val="100"/>
      </c:catAx>
      <c:valAx>
        <c:axId val="132122112"/>
        <c:scaling>
          <c:orientation val="minMax"/>
          <c:min val="2000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2120576"/>
        <c:crosses val="autoZero"/>
        <c:crossBetween val="between"/>
        <c:majorUnit val="1000"/>
        <c:minorUnit val="1000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1000">
                <a:latin typeface="GHEA Grapalat" pitchFamily="50" charset="0"/>
              </a:rPr>
              <a:t>ՀՀ կառավարության արտաքին պարտքի կառուցվածքն ըստ վարկատուների, %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0949596578205513"/>
          <c:w val="1"/>
          <c:h val="0.52717070088461149"/>
        </c:manualLayout>
      </c:layout>
      <c:barChart>
        <c:barDir val="col"/>
        <c:grouping val="stacked"/>
        <c:ser>
          <c:idx val="0"/>
          <c:order val="0"/>
          <c:tx>
            <c:strRef>
              <c:f>Sheet1!$B$174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Sheet1!$C$173:$E$173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Sheet1!$C$174:$E$174</c:f>
              <c:numCache>
                <c:formatCode>0.00;[Red]0.00</c:formatCode>
                <c:ptCount val="3"/>
                <c:pt idx="0">
                  <c:v>83.770658523853285</c:v>
                </c:pt>
                <c:pt idx="1">
                  <c:v>78.766588519272602</c:v>
                </c:pt>
                <c:pt idx="2">
                  <c:v>76.949200359581582</c:v>
                </c:pt>
              </c:numCache>
            </c:numRef>
          </c:val>
        </c:ser>
        <c:ser>
          <c:idx val="1"/>
          <c:order val="1"/>
          <c:tx>
            <c:strRef>
              <c:f>Sheet1!$B$175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Sheet1!$C$173:$E$173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Sheet1!$C$175:$E$175</c:f>
              <c:numCache>
                <c:formatCode>0.00;[Red]0.00</c:formatCode>
                <c:ptCount val="3"/>
                <c:pt idx="0">
                  <c:v>15.5655654477778</c:v>
                </c:pt>
                <c:pt idx="1">
                  <c:v>20.622226256782994</c:v>
                </c:pt>
                <c:pt idx="2">
                  <c:v>22.502876240938097</c:v>
                </c:pt>
              </c:numCache>
            </c:numRef>
          </c:val>
        </c:ser>
        <c:ser>
          <c:idx val="2"/>
          <c:order val="2"/>
          <c:tx>
            <c:strRef>
              <c:f>Sheet1!$B$176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2.7266530334015002E-3"/>
                  <c:y val="-3.7037037037037042E-2"/>
                </c:manualLayout>
              </c:layout>
              <c:showVal val="1"/>
            </c:dLbl>
            <c:dLbl>
              <c:idx val="1"/>
              <c:layout>
                <c:manualLayout>
                  <c:x val="-2.7266530334015002E-3"/>
                  <c:y val="-3.7037037037037097E-2"/>
                </c:manualLayout>
              </c:layout>
              <c:showVal val="1"/>
            </c:dLbl>
            <c:dLbl>
              <c:idx val="2"/>
              <c:layout>
                <c:manualLayout>
                  <c:x val="-8.1799591002044997E-3"/>
                  <c:y val="-4.938271604938279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Sheet1!$C$173:$E$173</c:f>
              <c:strCache>
                <c:ptCount val="3"/>
                <c:pt idx="0">
                  <c:v>31.12.2016</c:v>
                </c:pt>
                <c:pt idx="1">
                  <c:v>31.12.2017</c:v>
                </c:pt>
                <c:pt idx="2">
                  <c:v>31.12.2018</c:v>
                </c:pt>
              </c:strCache>
            </c:strRef>
          </c:cat>
          <c:val>
            <c:numRef>
              <c:f>Sheet1!$C$176:$E$176</c:f>
              <c:numCache>
                <c:formatCode>0.00;[Red]0.00</c:formatCode>
                <c:ptCount val="3"/>
                <c:pt idx="0">
                  <c:v>0.66377602836895711</c:v>
                </c:pt>
                <c:pt idx="1">
                  <c:v>0.61118522394436203</c:v>
                </c:pt>
                <c:pt idx="2">
                  <c:v>0.54792339948032398</c:v>
                </c:pt>
              </c:numCache>
            </c:numRef>
          </c:val>
        </c:ser>
        <c:dLbls>
          <c:showVal val="1"/>
        </c:dLbls>
        <c:gapWidth val="95"/>
        <c:overlap val="100"/>
        <c:axId val="132177280"/>
        <c:axId val="132183168"/>
      </c:barChart>
      <c:catAx>
        <c:axId val="132177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2183168"/>
        <c:crosses val="autoZero"/>
        <c:auto val="1"/>
        <c:lblAlgn val="ctr"/>
        <c:lblOffset val="100"/>
      </c:catAx>
      <c:valAx>
        <c:axId val="132183168"/>
        <c:scaling>
          <c:orientation val="minMax"/>
        </c:scaling>
        <c:delete val="1"/>
        <c:axPos val="l"/>
        <c:numFmt formatCode="0.00;[Red]0.00" sourceLinked="1"/>
        <c:tickLblPos val="nextTo"/>
        <c:crossAx val="1321772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0716049382716054"/>
          <c:w val="0.99804518300243139"/>
          <c:h val="0.10960046660834064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1000" b="1" i="0" baseline="0">
                <a:latin typeface="GHEA Grapalat" pitchFamily="50" charset="0"/>
              </a:rPr>
              <a:t>ՀՀ կառավարության պարտքի գծով վճարված տոկոսավճարներ, մլրդ դրամ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23134502923976608"/>
          <c:w val="0.98389910103314104"/>
          <c:h val="0.61976608187134496"/>
        </c:manualLayout>
      </c:layout>
      <c:barChart>
        <c:barDir val="col"/>
        <c:grouping val="clustered"/>
        <c:ser>
          <c:idx val="0"/>
          <c:order val="0"/>
          <c:tx>
            <c:strRef>
              <c:f>Sheet1!$B$134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Sheet1!$C$133:$E$133</c:f>
              <c:strCache>
                <c:ptCount val="3"/>
                <c:pt idx="0">
                  <c:v>01.01.2016-31.12.2016</c:v>
                </c:pt>
                <c:pt idx="1">
                  <c:v>01.01.2017-31.12.2017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Sheet1!$C$134:$E$134</c:f>
              <c:numCache>
                <c:formatCode>0.00;[Red]0.00</c:formatCode>
                <c:ptCount val="3"/>
                <c:pt idx="0">
                  <c:v>98.274579073843881</c:v>
                </c:pt>
                <c:pt idx="1">
                  <c:v>122.110129577466</c:v>
                </c:pt>
                <c:pt idx="2">
                  <c:v>138.97822098265905</c:v>
                </c:pt>
              </c:numCache>
            </c:numRef>
          </c:val>
        </c:ser>
        <c:dLbls>
          <c:showVal val="1"/>
        </c:dLbls>
        <c:overlap val="-25"/>
        <c:axId val="132199552"/>
        <c:axId val="132201088"/>
      </c:barChart>
      <c:catAx>
        <c:axId val="132199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2201088"/>
        <c:crosses val="autoZero"/>
        <c:auto val="1"/>
        <c:lblAlgn val="ctr"/>
        <c:lblOffset val="100"/>
      </c:catAx>
      <c:valAx>
        <c:axId val="132201088"/>
        <c:scaling>
          <c:orientation val="minMax"/>
        </c:scaling>
        <c:delete val="1"/>
        <c:axPos val="l"/>
        <c:numFmt formatCode="0.00;[Red]0.00" sourceLinked="1"/>
        <c:tickLblPos val="nextTo"/>
        <c:crossAx val="13219955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1000" b="1" i="0" baseline="0">
                <a:latin typeface="GHEA Grapalat" pitchFamily="50" charset="0"/>
              </a:rPr>
              <a:t>ՀՀ կառավարության պարտքի գծով վճարված ներքին և արտաքին տոկոսավճարներ, մլրդ դրամ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28913848324025587"/>
          <c:w val="1"/>
          <c:h val="0.56131672968191737"/>
        </c:manualLayout>
      </c:layout>
      <c:barChart>
        <c:barDir val="col"/>
        <c:grouping val="stacked"/>
        <c:ser>
          <c:idx val="0"/>
          <c:order val="0"/>
          <c:tx>
            <c:strRef>
              <c:f>Sheet1!$B$154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01.01.2016-31.12.2016</c:v>
                </c:pt>
                <c:pt idx="1">
                  <c:v>01.01.2017-31.12.2017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Sheet1!$C$154:$E$154</c:f>
              <c:numCache>
                <c:formatCode>0.00;[Red]0.00</c:formatCode>
                <c:ptCount val="3"/>
                <c:pt idx="0">
                  <c:v>42.030360917000003</c:v>
                </c:pt>
                <c:pt idx="1">
                  <c:v>58.181722400550001</c:v>
                </c:pt>
                <c:pt idx="2">
                  <c:v>63.991004952449998</c:v>
                </c:pt>
              </c:numCache>
            </c:numRef>
          </c:val>
        </c:ser>
        <c:ser>
          <c:idx val="1"/>
          <c:order val="1"/>
          <c:tx>
            <c:strRef>
              <c:f>Sheet1!$B$155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01.01.2016-31.12.2016</c:v>
                </c:pt>
                <c:pt idx="1">
                  <c:v>01.01.2017-31.12.2017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Sheet1!$C$155:$E$155</c:f>
              <c:numCache>
                <c:formatCode>0.00;[Red]0.00</c:formatCode>
                <c:ptCount val="3"/>
                <c:pt idx="0">
                  <c:v>56.2442181568439</c:v>
                </c:pt>
                <c:pt idx="1">
                  <c:v>63.928407176916195</c:v>
                </c:pt>
                <c:pt idx="2">
                  <c:v>74.987216030208614</c:v>
                </c:pt>
              </c:numCache>
            </c:numRef>
          </c:val>
        </c:ser>
        <c:dLbls>
          <c:showVal val="1"/>
        </c:dLbls>
        <c:gapWidth val="95"/>
        <c:overlap val="100"/>
        <c:axId val="132210048"/>
        <c:axId val="132215936"/>
      </c:barChart>
      <c:catAx>
        <c:axId val="1322100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2215936"/>
        <c:crosses val="autoZero"/>
        <c:auto val="1"/>
        <c:lblAlgn val="ctr"/>
        <c:lblOffset val="100"/>
      </c:catAx>
      <c:valAx>
        <c:axId val="132215936"/>
        <c:scaling>
          <c:orientation val="minMax"/>
        </c:scaling>
        <c:delete val="1"/>
        <c:axPos val="l"/>
        <c:numFmt formatCode="0.00;[Red]0.00" sourceLinked="1"/>
        <c:tickLblPos val="nextTo"/>
        <c:crossAx val="1322100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0886930983847288"/>
          <c:w val="0.99835456150803237"/>
          <c:h val="9.8415715656688274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"/>
          <c:y val="0.22457399103139017"/>
          <c:w val="1"/>
          <c:h val="0.59330343796711493"/>
        </c:manualLayout>
      </c:layout>
      <c:barChart>
        <c:barDir val="col"/>
        <c:grouping val="clustered"/>
        <c:ser>
          <c:idx val="0"/>
          <c:order val="0"/>
          <c:tx>
            <c:strRef>
              <c:f>Sheet1!$B$95</c:f>
              <c:strCache>
                <c:ptCount val="1"/>
                <c:pt idx="0">
                  <c:v>Պետական բյուջեի պակասուրդի ֆինանսավորումը փոխառու զուտ միջոցների հաշվին, մլրդ դրամ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Sheet1!$C$94:$E$94</c:f>
              <c:strCache>
                <c:ptCount val="3"/>
                <c:pt idx="0">
                  <c:v>01.01.2016-31.12.2016</c:v>
                </c:pt>
                <c:pt idx="1">
                  <c:v>01.01.2017-31.12.2017</c:v>
                </c:pt>
                <c:pt idx="2">
                  <c:v>01.01.2018-31.12.2018</c:v>
                </c:pt>
              </c:strCache>
            </c:strRef>
          </c:cat>
          <c:val>
            <c:numRef>
              <c:f>Sheet1!$C$95:$E$95</c:f>
              <c:numCache>
                <c:formatCode>0.00;[Red]0.00</c:formatCode>
                <c:ptCount val="3"/>
                <c:pt idx="0" formatCode="0.00">
                  <c:v>409.40490883545306</c:v>
                </c:pt>
                <c:pt idx="1">
                  <c:v>278.72907551619295</c:v>
                </c:pt>
                <c:pt idx="2" formatCode="0.00">
                  <c:v>133.29444071194698</c:v>
                </c:pt>
              </c:numCache>
            </c:numRef>
          </c:val>
        </c:ser>
        <c:dLbls>
          <c:showVal val="1"/>
        </c:dLbls>
        <c:overlap val="-25"/>
        <c:axId val="132244608"/>
        <c:axId val="132246144"/>
      </c:barChart>
      <c:catAx>
        <c:axId val="132244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32246144"/>
        <c:crosses val="autoZero"/>
        <c:auto val="1"/>
        <c:lblAlgn val="ctr"/>
        <c:lblOffset val="100"/>
      </c:catAx>
      <c:valAx>
        <c:axId val="132246144"/>
        <c:scaling>
          <c:orientation val="minMax"/>
        </c:scaling>
        <c:delete val="1"/>
        <c:axPos val="l"/>
        <c:numFmt formatCode="0.00" sourceLinked="1"/>
        <c:tickLblPos val="nextTo"/>
        <c:crossAx val="132244608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0.71465</cdr:x>
      <cdr:y>0.35948</cdr:y>
    </cdr:from>
    <cdr:to>
      <cdr:x>0.99583</cdr:x>
      <cdr:y>0.80161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267395" y="1047750"/>
          <a:ext cx="1285555" cy="1288677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0.70646</cdr:x>
      <cdr:y>0.19281</cdr:y>
    </cdr:from>
    <cdr:to>
      <cdr:x>1</cdr:x>
      <cdr:y>0.41503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438526" y="561975"/>
          <a:ext cx="1428749" cy="647699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 sz="600">
            <a:latin typeface="GHEA Grapalat" pitchFamily="50" charset="0"/>
          </a:endParaRPr>
        </a:p>
        <a:p xmlns:a="http://schemas.openxmlformats.org/drawingml/2006/main">
          <a:r>
            <a:rPr lang="en-US" sz="600">
              <a:latin typeface="GHEA Grapalat" pitchFamily="50" charset="0"/>
            </a:rPr>
            <a:t>ուղենշային </a:t>
          </a:r>
        </a:p>
        <a:p xmlns:a="http://schemas.openxmlformats.org/drawingml/2006/main">
          <a:r>
            <a:rPr lang="en-US" sz="600">
              <a:latin typeface="GHEA Grapalat" pitchFamily="50" charset="0"/>
            </a:rPr>
            <a:t>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0.73013</cdr:x>
      <cdr:y>0.38944</cdr:y>
    </cdr:from>
    <cdr:to>
      <cdr:x>0.99583</cdr:x>
      <cdr:y>0.85479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324225" y="1123950"/>
          <a:ext cx="1209754" cy="1343025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GHEA Grapalat" pitchFamily="50" charset="0"/>
            </a:rPr>
            <a:t>ուղենշային ցուցանիշը՝</a:t>
          </a:r>
          <a:r>
            <a:rPr lang="en-US" sz="800" baseline="0">
              <a:latin typeface="GHEA Grapalat" pitchFamily="50" charset="0"/>
            </a:rPr>
            <a:t> առավելագույնքը 20%</a:t>
          </a:r>
          <a:endParaRPr lang="en-US" sz="800">
            <a:latin typeface="GHEA Grapalat" pitchFamily="50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0.69006</cdr:x>
      <cdr:y>0.59406</cdr:y>
    </cdr:from>
    <cdr:to>
      <cdr:x>1</cdr:x>
      <cdr:y>0.87789</cdr:y>
    </cdr:to>
    <cdr:sp macro="" textlink="">
      <cdr:nvSpPr>
        <cdr:cNvPr id="2" name="Right Arrow 1"/>
        <cdr:cNvSpPr/>
      </cdr:nvSpPr>
      <cdr:spPr>
        <a:xfrm xmlns:a="http://schemas.openxmlformats.org/drawingml/2006/main">
          <a:off x="3371849" y="1714500"/>
          <a:ext cx="1514475" cy="819150"/>
        </a:xfrm>
        <a:prstGeom xmlns:a="http://schemas.openxmlformats.org/drawingml/2006/main" prst="right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74</cp:revision>
  <cp:lastPrinted>2018-11-28T13:43:00Z</cp:lastPrinted>
  <dcterms:created xsi:type="dcterms:W3CDTF">2017-11-16T06:45:00Z</dcterms:created>
  <dcterms:modified xsi:type="dcterms:W3CDTF">2019-01-23T12:59:00Z</dcterms:modified>
</cp:coreProperties>
</file>