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D500DF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D500DF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D500DF">
        <w:rPr>
          <w:rFonts w:ascii="GHEA Grapalat" w:hAnsi="GHEA Grapalat" w:cs="Sylfaen"/>
          <w:sz w:val="24"/>
          <w:szCs w:val="24"/>
        </w:rPr>
        <w:t>հունվար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D500D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D500D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2966" cy="2743200"/>
            <wp:effectExtent l="19050" t="0" r="25234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500D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2219" cy="2743200"/>
            <wp:effectExtent l="19050" t="0" r="14081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D500D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D500D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3601" cy="2743200"/>
            <wp:effectExtent l="19050" t="0" r="24599" b="0"/>
            <wp:docPr id="10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1E28A6" w:rsidRPr="001E28A6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4152" cy="2743200"/>
            <wp:effectExtent l="19050" t="0" r="12148" b="0"/>
            <wp:docPr id="1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1E28A6" w:rsidP="00B41CF7">
      <w:pPr>
        <w:ind w:left="-360"/>
        <w:rPr>
          <w:rFonts w:ascii="GHEA Grapalat" w:hAnsi="GHEA Grapalat"/>
          <w:sz w:val="24"/>
          <w:szCs w:val="24"/>
        </w:rPr>
      </w:pPr>
      <w:r w:rsidRPr="001E28A6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32986" cy="2012011"/>
            <wp:effectExtent l="19050" t="0" r="10464" b="7289"/>
            <wp:docPr id="13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17202" w:rsidRPr="00C1720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01373" cy="2013281"/>
            <wp:effectExtent l="19050" t="0" r="18277" b="6019"/>
            <wp:docPr id="14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C17202" w:rsidP="00B41CF7">
      <w:pPr>
        <w:ind w:left="-360"/>
        <w:rPr>
          <w:rFonts w:ascii="GHEA Grapalat" w:hAnsi="GHEA Grapalat"/>
          <w:sz w:val="24"/>
          <w:szCs w:val="24"/>
        </w:rPr>
      </w:pPr>
      <w:r w:rsidRPr="00C1720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986" cy="2203477"/>
            <wp:effectExtent l="19050" t="0" r="10464" b="6323"/>
            <wp:docPr id="15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1720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05514" cy="2210462"/>
            <wp:effectExtent l="19050" t="0" r="14136" b="0"/>
            <wp:docPr id="16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C17202" w:rsidP="003A764E">
      <w:pPr>
        <w:ind w:left="-360"/>
        <w:rPr>
          <w:rFonts w:ascii="GHEA Grapalat" w:hAnsi="GHEA Grapalat"/>
          <w:sz w:val="24"/>
          <w:szCs w:val="24"/>
        </w:rPr>
      </w:pPr>
      <w:r w:rsidRPr="00C1720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3621" cy="1978604"/>
            <wp:effectExtent l="19050" t="0" r="9829" b="2596"/>
            <wp:docPr id="17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C17202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05514" cy="1978604"/>
            <wp:effectExtent l="19050" t="0" r="14136" b="2596"/>
            <wp:docPr id="1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C17202" w:rsidP="000359FA">
      <w:pPr>
        <w:ind w:left="-360"/>
        <w:rPr>
          <w:rFonts w:ascii="GHEA Grapalat" w:hAnsi="GHEA Grapalat"/>
          <w:sz w:val="24"/>
          <w:szCs w:val="24"/>
        </w:rPr>
      </w:pPr>
      <w:r w:rsidRPr="00C17202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23294" cy="3299791"/>
            <wp:effectExtent l="19050" t="0" r="15406" b="0"/>
            <wp:docPr id="19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="00921FAF" w:rsidRPr="00921FA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0342" cy="3299791"/>
            <wp:effectExtent l="19050" t="0" r="15958" b="0"/>
            <wp:docPr id="20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921FAF" w:rsidP="000359FA">
      <w:pPr>
        <w:ind w:left="-360"/>
        <w:rPr>
          <w:rFonts w:ascii="GHEA Grapalat" w:hAnsi="GHEA Grapalat"/>
          <w:sz w:val="24"/>
          <w:szCs w:val="24"/>
        </w:rPr>
      </w:pPr>
      <w:r w:rsidRPr="00921FAF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3957" cy="3042810"/>
            <wp:effectExtent l="19050" t="0" r="14743" b="5190"/>
            <wp:docPr id="24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="00F037BA" w:rsidRPr="00F037B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72247" cy="3042810"/>
            <wp:effectExtent l="19050" t="0" r="14053" b="5190"/>
            <wp:docPr id="3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7E7077" w:rsidRPr="007E7077" w:rsidRDefault="000278D1" w:rsidP="004A3BA1">
      <w:pPr>
        <w:ind w:left="-360" w:firstLine="360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</w:t>
      </w:r>
      <w:r w:rsidR="00366BCC">
        <w:rPr>
          <w:rFonts w:ascii="GHEA Grapalat" w:hAnsi="GHEA Grapalat"/>
          <w:sz w:val="24"/>
          <w:szCs w:val="24"/>
        </w:rPr>
        <w:t>8</w:t>
      </w:r>
      <w:r w:rsidRPr="004A3BA1">
        <w:rPr>
          <w:rFonts w:ascii="GHEA Grapalat" w:hAnsi="GHEA Grapalat"/>
          <w:sz w:val="24"/>
          <w:szCs w:val="24"/>
        </w:rPr>
        <w:t xml:space="preserve"> -20</w:t>
      </w:r>
      <w:r w:rsidR="00366BCC">
        <w:rPr>
          <w:rFonts w:ascii="GHEA Grapalat" w:hAnsi="GHEA Grapalat"/>
          <w:sz w:val="24"/>
          <w:szCs w:val="24"/>
        </w:rPr>
        <w:t>20</w:t>
      </w:r>
      <w:r w:rsidRPr="004A3BA1">
        <w:rPr>
          <w:rFonts w:ascii="GHEA Grapalat" w:hAnsi="GHEA Grapalat"/>
          <w:sz w:val="24"/>
          <w:szCs w:val="24"/>
        </w:rPr>
        <w:t>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543153" w:rsidP="00EC6568">
      <w:pPr>
        <w:ind w:left="-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366BCC" w:rsidRPr="00366BCC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40250" cy="2918129"/>
            <wp:effectExtent l="19050" t="0" r="1270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C5A62">
        <w:rPr>
          <w:rFonts w:ascii="GHEA Grapalat" w:hAnsi="GHEA Grapalat"/>
          <w:b/>
          <w:sz w:val="16"/>
          <w:szCs w:val="16"/>
        </w:rPr>
        <w:t xml:space="preserve"> </w:t>
      </w:r>
      <w:r w:rsidR="00366BCC" w:rsidRPr="00366BCC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813162" cy="2918129"/>
            <wp:effectExtent l="19050" t="0" r="25538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543153" w:rsidP="00EC6568">
      <w:pPr>
        <w:ind w:left="-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366BCC" w:rsidRPr="00366BCC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40250" cy="2822713"/>
            <wp:effectExtent l="19050" t="0" r="1270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66BCC" w:rsidRPr="00366BCC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845602" cy="2822713"/>
            <wp:effectExtent l="19050" t="0" r="12148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C8" w:rsidRDefault="00776CC8" w:rsidP="00AC2D9E">
      <w:pPr>
        <w:spacing w:after="0" w:line="240" w:lineRule="auto"/>
      </w:pPr>
      <w:r>
        <w:separator/>
      </w:r>
    </w:p>
  </w:endnote>
  <w:endnote w:type="continuationSeparator" w:id="1">
    <w:p w:rsidR="00776CC8" w:rsidRDefault="00776CC8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C8" w:rsidRDefault="00776CC8" w:rsidP="00AC2D9E">
      <w:pPr>
        <w:spacing w:after="0" w:line="240" w:lineRule="auto"/>
      </w:pPr>
      <w:r>
        <w:separator/>
      </w:r>
    </w:p>
  </w:footnote>
  <w:footnote w:type="continuationSeparator" w:id="1">
    <w:p w:rsidR="00776CC8" w:rsidRDefault="00776CC8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20728"/>
    <w:rsid w:val="00020F73"/>
    <w:rsid w:val="000278D1"/>
    <w:rsid w:val="000359FA"/>
    <w:rsid w:val="00051169"/>
    <w:rsid w:val="00056F88"/>
    <w:rsid w:val="0006240F"/>
    <w:rsid w:val="000675D6"/>
    <w:rsid w:val="00071D1B"/>
    <w:rsid w:val="00074039"/>
    <w:rsid w:val="00077EDB"/>
    <w:rsid w:val="00082A3C"/>
    <w:rsid w:val="0008485C"/>
    <w:rsid w:val="00090678"/>
    <w:rsid w:val="000B0744"/>
    <w:rsid w:val="000B78A5"/>
    <w:rsid w:val="000C06C9"/>
    <w:rsid w:val="000C120D"/>
    <w:rsid w:val="000C1A28"/>
    <w:rsid w:val="000E596E"/>
    <w:rsid w:val="00107438"/>
    <w:rsid w:val="00123208"/>
    <w:rsid w:val="00136864"/>
    <w:rsid w:val="001708FC"/>
    <w:rsid w:val="00185A1A"/>
    <w:rsid w:val="00187C15"/>
    <w:rsid w:val="001963B2"/>
    <w:rsid w:val="0019787B"/>
    <w:rsid w:val="001B01D5"/>
    <w:rsid w:val="001C214B"/>
    <w:rsid w:val="001C2936"/>
    <w:rsid w:val="001E1A21"/>
    <w:rsid w:val="001E20E6"/>
    <w:rsid w:val="001E28A6"/>
    <w:rsid w:val="00202DDC"/>
    <w:rsid w:val="00213743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F2A59"/>
    <w:rsid w:val="002F56E9"/>
    <w:rsid w:val="0030485A"/>
    <w:rsid w:val="00304E24"/>
    <w:rsid w:val="003139F5"/>
    <w:rsid w:val="00314083"/>
    <w:rsid w:val="00316E05"/>
    <w:rsid w:val="003428D7"/>
    <w:rsid w:val="00345B70"/>
    <w:rsid w:val="00356A9D"/>
    <w:rsid w:val="00366BCC"/>
    <w:rsid w:val="003670A8"/>
    <w:rsid w:val="0038186E"/>
    <w:rsid w:val="003910B9"/>
    <w:rsid w:val="00392748"/>
    <w:rsid w:val="00395631"/>
    <w:rsid w:val="003965AE"/>
    <w:rsid w:val="00397FE1"/>
    <w:rsid w:val="003A764E"/>
    <w:rsid w:val="003B1B4F"/>
    <w:rsid w:val="003B212F"/>
    <w:rsid w:val="003C1D54"/>
    <w:rsid w:val="003C2F9B"/>
    <w:rsid w:val="003C33CD"/>
    <w:rsid w:val="003C5A62"/>
    <w:rsid w:val="003D3812"/>
    <w:rsid w:val="003D4E57"/>
    <w:rsid w:val="003D5370"/>
    <w:rsid w:val="003F22F7"/>
    <w:rsid w:val="003F564E"/>
    <w:rsid w:val="003F7610"/>
    <w:rsid w:val="0040580C"/>
    <w:rsid w:val="00410EDE"/>
    <w:rsid w:val="00421A4E"/>
    <w:rsid w:val="00426B06"/>
    <w:rsid w:val="00427116"/>
    <w:rsid w:val="004335CB"/>
    <w:rsid w:val="00434F7E"/>
    <w:rsid w:val="00440FAF"/>
    <w:rsid w:val="00447E6B"/>
    <w:rsid w:val="00455B1D"/>
    <w:rsid w:val="00460ADB"/>
    <w:rsid w:val="00461DE6"/>
    <w:rsid w:val="00462748"/>
    <w:rsid w:val="00472BF5"/>
    <w:rsid w:val="00474688"/>
    <w:rsid w:val="0048515E"/>
    <w:rsid w:val="00495AFC"/>
    <w:rsid w:val="004A3BA1"/>
    <w:rsid w:val="004B1BFA"/>
    <w:rsid w:val="004B3A6B"/>
    <w:rsid w:val="004C0931"/>
    <w:rsid w:val="004C147B"/>
    <w:rsid w:val="004E7F0D"/>
    <w:rsid w:val="004F17DA"/>
    <w:rsid w:val="00513FFD"/>
    <w:rsid w:val="0052482E"/>
    <w:rsid w:val="005403D8"/>
    <w:rsid w:val="00543153"/>
    <w:rsid w:val="00546C4B"/>
    <w:rsid w:val="005646F8"/>
    <w:rsid w:val="0056730A"/>
    <w:rsid w:val="005748EC"/>
    <w:rsid w:val="00593DFD"/>
    <w:rsid w:val="005A4CB8"/>
    <w:rsid w:val="005A6095"/>
    <w:rsid w:val="005B1A4E"/>
    <w:rsid w:val="005C63AF"/>
    <w:rsid w:val="005E45FD"/>
    <w:rsid w:val="005E72C4"/>
    <w:rsid w:val="00600125"/>
    <w:rsid w:val="00605A49"/>
    <w:rsid w:val="006204FF"/>
    <w:rsid w:val="00621716"/>
    <w:rsid w:val="00642339"/>
    <w:rsid w:val="00662084"/>
    <w:rsid w:val="006700B1"/>
    <w:rsid w:val="00672C70"/>
    <w:rsid w:val="00675A12"/>
    <w:rsid w:val="0068775B"/>
    <w:rsid w:val="00697E19"/>
    <w:rsid w:val="006A61EA"/>
    <w:rsid w:val="006B14A0"/>
    <w:rsid w:val="006E29A5"/>
    <w:rsid w:val="006F124B"/>
    <w:rsid w:val="006F322F"/>
    <w:rsid w:val="006F3AB0"/>
    <w:rsid w:val="00711ECB"/>
    <w:rsid w:val="00726F2E"/>
    <w:rsid w:val="00746DA0"/>
    <w:rsid w:val="00753EBA"/>
    <w:rsid w:val="00776CC8"/>
    <w:rsid w:val="00793EEC"/>
    <w:rsid w:val="00795E20"/>
    <w:rsid w:val="007A1637"/>
    <w:rsid w:val="007A7000"/>
    <w:rsid w:val="007B0C3C"/>
    <w:rsid w:val="007B5262"/>
    <w:rsid w:val="007C52CA"/>
    <w:rsid w:val="007D095A"/>
    <w:rsid w:val="007D6D40"/>
    <w:rsid w:val="007E288D"/>
    <w:rsid w:val="007E457E"/>
    <w:rsid w:val="007E7077"/>
    <w:rsid w:val="00807683"/>
    <w:rsid w:val="0081180D"/>
    <w:rsid w:val="00811EF3"/>
    <w:rsid w:val="0082555E"/>
    <w:rsid w:val="00831BD9"/>
    <w:rsid w:val="00841547"/>
    <w:rsid w:val="008456FD"/>
    <w:rsid w:val="008505ED"/>
    <w:rsid w:val="00867138"/>
    <w:rsid w:val="008729DA"/>
    <w:rsid w:val="00875E4C"/>
    <w:rsid w:val="008814D2"/>
    <w:rsid w:val="008873A9"/>
    <w:rsid w:val="00896F85"/>
    <w:rsid w:val="008A0310"/>
    <w:rsid w:val="008A5AC2"/>
    <w:rsid w:val="008C1E33"/>
    <w:rsid w:val="008C2FD5"/>
    <w:rsid w:val="008C5278"/>
    <w:rsid w:val="008D75B0"/>
    <w:rsid w:val="008D7BF1"/>
    <w:rsid w:val="008F18E7"/>
    <w:rsid w:val="008F5FCD"/>
    <w:rsid w:val="00905766"/>
    <w:rsid w:val="009063C3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77EDB"/>
    <w:rsid w:val="009948D6"/>
    <w:rsid w:val="009B57D4"/>
    <w:rsid w:val="009C77A7"/>
    <w:rsid w:val="00A124D7"/>
    <w:rsid w:val="00A15EBC"/>
    <w:rsid w:val="00A23569"/>
    <w:rsid w:val="00A266B6"/>
    <w:rsid w:val="00A36CD4"/>
    <w:rsid w:val="00A5217B"/>
    <w:rsid w:val="00A52C30"/>
    <w:rsid w:val="00A53481"/>
    <w:rsid w:val="00A71643"/>
    <w:rsid w:val="00A80F60"/>
    <w:rsid w:val="00A868C8"/>
    <w:rsid w:val="00A95527"/>
    <w:rsid w:val="00AA353B"/>
    <w:rsid w:val="00AB08C3"/>
    <w:rsid w:val="00AC2D9E"/>
    <w:rsid w:val="00AD16F7"/>
    <w:rsid w:val="00AD2974"/>
    <w:rsid w:val="00AE182C"/>
    <w:rsid w:val="00B00B2A"/>
    <w:rsid w:val="00B0479E"/>
    <w:rsid w:val="00B06216"/>
    <w:rsid w:val="00B279AB"/>
    <w:rsid w:val="00B3731F"/>
    <w:rsid w:val="00B41CF7"/>
    <w:rsid w:val="00B55DF2"/>
    <w:rsid w:val="00B65BE2"/>
    <w:rsid w:val="00B71849"/>
    <w:rsid w:val="00B77C2D"/>
    <w:rsid w:val="00B9168A"/>
    <w:rsid w:val="00BB18EB"/>
    <w:rsid w:val="00BC3A20"/>
    <w:rsid w:val="00BC74FB"/>
    <w:rsid w:val="00BD5001"/>
    <w:rsid w:val="00BD6CE1"/>
    <w:rsid w:val="00BF08B3"/>
    <w:rsid w:val="00BF7D18"/>
    <w:rsid w:val="00C017E6"/>
    <w:rsid w:val="00C03503"/>
    <w:rsid w:val="00C133F0"/>
    <w:rsid w:val="00C17202"/>
    <w:rsid w:val="00C4717D"/>
    <w:rsid w:val="00C53C1D"/>
    <w:rsid w:val="00C931D2"/>
    <w:rsid w:val="00CA2359"/>
    <w:rsid w:val="00CA5AE7"/>
    <w:rsid w:val="00CB2A9B"/>
    <w:rsid w:val="00CF0FEB"/>
    <w:rsid w:val="00D20D4C"/>
    <w:rsid w:val="00D47547"/>
    <w:rsid w:val="00D500DF"/>
    <w:rsid w:val="00D50656"/>
    <w:rsid w:val="00D52BB4"/>
    <w:rsid w:val="00D6663E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70E3"/>
    <w:rsid w:val="00E123FE"/>
    <w:rsid w:val="00E179BB"/>
    <w:rsid w:val="00E2636E"/>
    <w:rsid w:val="00E305FB"/>
    <w:rsid w:val="00E311F1"/>
    <w:rsid w:val="00E53F5B"/>
    <w:rsid w:val="00E54FD7"/>
    <w:rsid w:val="00E55DE4"/>
    <w:rsid w:val="00E572E5"/>
    <w:rsid w:val="00E611FC"/>
    <w:rsid w:val="00E66C3C"/>
    <w:rsid w:val="00E7138C"/>
    <w:rsid w:val="00E7141B"/>
    <w:rsid w:val="00EA3EF3"/>
    <w:rsid w:val="00EB3E83"/>
    <w:rsid w:val="00EB4522"/>
    <w:rsid w:val="00EB69F5"/>
    <w:rsid w:val="00EC11CC"/>
    <w:rsid w:val="00EC6568"/>
    <w:rsid w:val="00ED1A35"/>
    <w:rsid w:val="00EF4C8F"/>
    <w:rsid w:val="00F037BA"/>
    <w:rsid w:val="00F13A2F"/>
    <w:rsid w:val="00F178DE"/>
    <w:rsid w:val="00F22FDD"/>
    <w:rsid w:val="00F26FD3"/>
    <w:rsid w:val="00F40D2C"/>
    <w:rsid w:val="00F46971"/>
    <w:rsid w:val="00F55AB5"/>
    <w:rsid w:val="00F620C8"/>
    <w:rsid w:val="00F64F30"/>
    <w:rsid w:val="00F65B3C"/>
    <w:rsid w:val="00F87A3E"/>
    <w:rsid w:val="00FB6552"/>
    <w:rsid w:val="00FD1C34"/>
    <w:rsid w:val="00FD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Petakan%20January2018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Petakan%20January2018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Petakan%20January2018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Petakan%20January2018\Bookocto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Petakan%20Jun2018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</a:t>
            </a:r>
            <a:r>
              <a:rPr lang="en-US" sz="900" b="1" i="0" strike="noStrike">
                <a:solidFill>
                  <a:srgbClr val="000000"/>
                </a:solidFill>
                <a:latin typeface="GHEA Grapalat"/>
              </a:rPr>
              <a:t>6</a:t>
            </a: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-201</a:t>
            </a:r>
            <a:r>
              <a:rPr lang="en-US" sz="900" b="1" i="0" strike="noStrike">
                <a:solidFill>
                  <a:srgbClr val="000000"/>
                </a:solidFill>
                <a:latin typeface="GHEA Grapalat"/>
              </a:rPr>
              <a:t>8</a:t>
            </a: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 թթ. /հունվար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3477970636167338"/>
          <c:y val="0.25856481481481508"/>
          <c:w val="0.55356928863418042"/>
          <c:h val="0.61598789734616566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2414622993117428E-2"/>
                  <c:y val="-5.0925925925925937E-2"/>
                </c:manualLayout>
              </c:layout>
              <c:showVal val="1"/>
            </c:dLbl>
            <c:dLbl>
              <c:idx val="1"/>
              <c:layout>
                <c:manualLayout>
                  <c:x val="-9.6150393491970451E-2"/>
                  <c:y val="-5.5555555555555497E-2"/>
                </c:manualLayout>
              </c:layout>
              <c:showVal val="1"/>
            </c:dLbl>
            <c:dLbl>
              <c:idx val="2"/>
              <c:layout>
                <c:manualLayout>
                  <c:x val="-1.3735770498852919E-2"/>
                  <c:y val="-2.7777777777777842E-2"/>
                </c:manualLayout>
              </c:layout>
              <c:showVal val="1"/>
            </c:dLbl>
            <c:dLbl>
              <c:idx val="3"/>
              <c:layout>
                <c:manualLayout>
                  <c:x val="-2.1977232798164683E-2"/>
                  <c:y val="-5.092592592592593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Sheet1!$C$4:$F$4</c:f>
              <c:numCache>
                <c:formatCode>#,##0.00</c:formatCode>
                <c:ptCount val="4"/>
                <c:pt idx="0">
                  <c:v>2485.47970106721</c:v>
                </c:pt>
                <c:pt idx="1">
                  <c:v>2903.1285838390399</c:v>
                </c:pt>
                <c:pt idx="2">
                  <c:v>3279.5859263171801</c:v>
                </c:pt>
                <c:pt idx="3">
                  <c:v>3315.4464096829197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2"/>
              <c:layout>
                <c:manualLayout>
                  <c:x val="-2.7471540997705837E-2"/>
                  <c:y val="4.1666666666666685E-2"/>
                </c:manualLayout>
              </c:layout>
              <c:showVal val="1"/>
            </c:dLbl>
            <c:dLbl>
              <c:idx val="3"/>
              <c:layout>
                <c:manualLayout>
                  <c:x val="-3.5713003297017556E-2"/>
                  <c:y val="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Sheet1!$C$5:$F$5</c:f>
              <c:numCache>
                <c:formatCode>#,##0.00</c:formatCode>
                <c:ptCount val="4"/>
                <c:pt idx="0">
                  <c:v>2252.0630080286487</c:v>
                </c:pt>
                <c:pt idx="1">
                  <c:v>2654.56249748344</c:v>
                </c:pt>
                <c:pt idx="2">
                  <c:v>2988.3796274422402</c:v>
                </c:pt>
                <c:pt idx="3">
                  <c:v>3021.0661896528277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7908931192658551E-2"/>
                  <c:y val="-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9.0656085292429356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6.3184544294723338E-2"/>
                  <c:y val="-5.5555555555555643E-2"/>
                </c:manualLayout>
              </c:layout>
              <c:showVal val="1"/>
            </c:dLbl>
            <c:dLbl>
              <c:idx val="3"/>
              <c:layout>
                <c:manualLayout>
                  <c:x val="-6.8678852494264406E-2"/>
                  <c:y val="-6.018518518518515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Sheet1!$C$6:$F$6</c:f>
              <c:numCache>
                <c:formatCode>0.00</c:formatCode>
                <c:ptCount val="4"/>
                <c:pt idx="0">
                  <c:v>233.41669303855485</c:v>
                </c:pt>
                <c:pt idx="1">
                  <c:v>248.56608635559218</c:v>
                </c:pt>
                <c:pt idx="2">
                  <c:v>291.206298874943</c:v>
                </c:pt>
                <c:pt idx="3">
                  <c:v>294.38022003008302</c:v>
                </c:pt>
              </c:numCache>
            </c:numRef>
          </c:val>
        </c:ser>
        <c:dLbls>
          <c:showVal val="1"/>
        </c:dLbls>
        <c:marker val="1"/>
        <c:axId val="38404096"/>
        <c:axId val="38406784"/>
      </c:lineChart>
      <c:catAx>
        <c:axId val="384040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38406784"/>
        <c:crosses val="autoZero"/>
        <c:auto val="1"/>
        <c:lblAlgn val="ctr"/>
        <c:lblOffset val="100"/>
      </c:catAx>
      <c:valAx>
        <c:axId val="3840678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38404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207185603355225"/>
          <c:y val="0.26350575969670453"/>
          <c:w val="0.31518098986667936"/>
          <c:h val="0.6158121901428989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Պետական բյուջեի պակասուրդի ֆինանսավորումը ներքին և արտաքին փոխառու զուտ միջոցների հաշվին, մլրդ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29864540858099953"/>
          <c:w val="0.98942881032081065"/>
          <c:h val="0.65288203197810224"/>
        </c:manualLayout>
      </c:layout>
      <c:barChart>
        <c:barDir val="col"/>
        <c:grouping val="stacked"/>
        <c:ser>
          <c:idx val="0"/>
          <c:order val="0"/>
          <c:tx>
            <c:strRef>
              <c:f>Sheet1!$B$116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5.134933518783946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Sheet1!$C$115:$E$115</c:f>
              <c:strCache>
                <c:ptCount val="3"/>
                <c:pt idx="0">
                  <c:v>01.01.2016-31.01.2016</c:v>
                </c:pt>
                <c:pt idx="1">
                  <c:v>01.01.2017-31.01.2017</c:v>
                </c:pt>
                <c:pt idx="2">
                  <c:v>01.01.2018-31.01.2018</c:v>
                </c:pt>
              </c:strCache>
            </c:strRef>
          </c:cat>
          <c:val>
            <c:numRef>
              <c:f>Sheet1!$C$116:$E$116</c:f>
              <c:numCache>
                <c:formatCode>0.00</c:formatCode>
                <c:ptCount val="3"/>
                <c:pt idx="0">
                  <c:v>5.1932792040000004</c:v>
                </c:pt>
                <c:pt idx="1">
                  <c:v>1.104501250999999</c:v>
                </c:pt>
                <c:pt idx="2">
                  <c:v>20.129662373599977</c:v>
                </c:pt>
              </c:numCache>
            </c:numRef>
          </c:val>
        </c:ser>
        <c:ser>
          <c:idx val="1"/>
          <c:order val="1"/>
          <c:tx>
            <c:strRef>
              <c:f>Sheet1!$B$117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3.2092323678714917E-2"/>
                </c:manualLayout>
              </c:layout>
              <c:showVal val="1"/>
            </c:dLbl>
            <c:dLbl>
              <c:idx val="2"/>
              <c:layout>
                <c:manualLayout>
                  <c:x val="-9.6901452645386428E-17"/>
                  <c:y val="-3.209333449239979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Sheet1!$C$115:$E$115</c:f>
              <c:strCache>
                <c:ptCount val="3"/>
                <c:pt idx="0">
                  <c:v>01.01.2016-31.01.2016</c:v>
                </c:pt>
                <c:pt idx="1">
                  <c:v>01.01.2017-31.01.2017</c:v>
                </c:pt>
                <c:pt idx="2">
                  <c:v>01.01.2018-31.01.2018</c:v>
                </c:pt>
              </c:strCache>
            </c:strRef>
          </c:cat>
          <c:val>
            <c:numRef>
              <c:f>Sheet1!$C$117:$E$117</c:f>
              <c:numCache>
                <c:formatCode>#,##0.0</c:formatCode>
                <c:ptCount val="3"/>
                <c:pt idx="0" formatCode="0.00">
                  <c:v>4.3922084355886044</c:v>
                </c:pt>
                <c:pt idx="1">
                  <c:v>-6.3619794609799829E-2</c:v>
                </c:pt>
                <c:pt idx="2" formatCode="0.00">
                  <c:v>0.51029169298000054</c:v>
                </c:pt>
              </c:numCache>
            </c:numRef>
          </c:val>
        </c:ser>
        <c:dLbls>
          <c:showVal val="1"/>
        </c:dLbls>
        <c:gapWidth val="95"/>
        <c:overlap val="100"/>
        <c:axId val="88258432"/>
        <c:axId val="88259968"/>
      </c:barChart>
      <c:catAx>
        <c:axId val="882584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8259968"/>
        <c:crosses val="autoZero"/>
        <c:auto val="1"/>
        <c:lblAlgn val="ctr"/>
        <c:lblOffset val="100"/>
      </c:catAx>
      <c:valAx>
        <c:axId val="88259968"/>
        <c:scaling>
          <c:orientation val="minMax"/>
        </c:scaling>
        <c:delete val="1"/>
        <c:axPos val="l"/>
        <c:numFmt formatCode="0.00" sourceLinked="1"/>
        <c:tickLblPos val="nextTo"/>
        <c:crossAx val="88258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805831384530373"/>
          <c:y val="0.21759280785847007"/>
          <c:w val="0.60388337230939371"/>
          <c:h val="0.10672726831644948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01.01.2016 - 31.01.2016</c:v>
                </c:pt>
                <c:pt idx="1">
                  <c:v>01.01.2017 - 31.01.2017</c:v>
                </c:pt>
                <c:pt idx="2">
                  <c:v>01.01.2018 - 31.01.2018</c:v>
                </c:pt>
              </c:strCache>
            </c:strRef>
          </c:cat>
          <c:val>
            <c:numRef>
              <c:f>Sheet1!$C$105:$E$105</c:f>
              <c:numCache>
                <c:formatCode>0.0</c:formatCode>
                <c:ptCount val="3"/>
                <c:pt idx="0">
                  <c:v>1.47687996</c:v>
                </c:pt>
                <c:pt idx="1">
                  <c:v>1.8651430899999999</c:v>
                </c:pt>
                <c:pt idx="2">
                  <c:v>3.16947482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01.01.2016 - 31.01.2016</c:v>
                </c:pt>
                <c:pt idx="1">
                  <c:v>01.01.2017 - 31.01.2017</c:v>
                </c:pt>
                <c:pt idx="2">
                  <c:v>01.01.2018 - 31.01.2018</c:v>
                </c:pt>
              </c:strCache>
            </c:strRef>
          </c:cat>
          <c:val>
            <c:numRef>
              <c:f>Sheet1!$C$106:$E$106</c:f>
              <c:numCache>
                <c:formatCode>0.0</c:formatCode>
                <c:ptCount val="3"/>
                <c:pt idx="0" formatCode="#,##0.0;[Red]#,##0.0">
                  <c:v>3.6776763316495997</c:v>
                </c:pt>
                <c:pt idx="1">
                  <c:v>6.3120987516257454</c:v>
                </c:pt>
                <c:pt idx="2">
                  <c:v>8.0623439132148302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01.01.2016 - 31.01.2016</c:v>
                </c:pt>
                <c:pt idx="1">
                  <c:v>01.01.2017 - 31.01.2017</c:v>
                </c:pt>
                <c:pt idx="2">
                  <c:v>01.01.2018 - 31.01.2018</c:v>
                </c:pt>
              </c:strCache>
            </c:strRef>
          </c:cat>
          <c:val>
            <c:numRef>
              <c:f>Sheet1!$C$107:$E$107</c:f>
              <c:numCache>
                <c:formatCode>0.0</c:formatCode>
                <c:ptCount val="3"/>
                <c:pt idx="0">
                  <c:v>12.640993505000001</c:v>
                </c:pt>
                <c:pt idx="1">
                  <c:v>6.1386140249999954</c:v>
                </c:pt>
                <c:pt idx="2">
                  <c:v>9.1596384400000002</c:v>
                </c:pt>
              </c:numCache>
            </c:numRef>
          </c:val>
        </c:ser>
        <c:dLbls>
          <c:showVal val="1"/>
        </c:dLbls>
        <c:overlap val="-25"/>
        <c:axId val="90498560"/>
        <c:axId val="90500096"/>
      </c:barChart>
      <c:catAx>
        <c:axId val="904985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0500096"/>
        <c:crosses val="autoZero"/>
        <c:auto val="1"/>
        <c:lblAlgn val="ctr"/>
        <c:lblOffset val="100"/>
      </c:catAx>
      <c:valAx>
        <c:axId val="90500096"/>
        <c:scaling>
          <c:orientation val="minMax"/>
        </c:scaling>
        <c:delete val="1"/>
        <c:axPos val="l"/>
        <c:numFmt formatCode="0.0" sourceLinked="1"/>
        <c:tickLblPos val="nextTo"/>
        <c:crossAx val="90498560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կողմից արտաքին վարկերի ստացումը և սպասարկումը, մլն ԱՄՆ դոլար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2.9912156326024945E-2"/>
          <c:y val="0.21371080774509679"/>
          <c:w val="0.9401756873479501"/>
          <c:h val="0.67667406814552911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01.01.2016 - 31.01.2016</c:v>
                </c:pt>
                <c:pt idx="1">
                  <c:v>01.01.2017 - 31.01.2017</c:v>
                </c:pt>
                <c:pt idx="2">
                  <c:v>01.01.2018 - 31.01.2018</c:v>
                </c:pt>
              </c:strCache>
            </c:strRef>
          </c:cat>
          <c:val>
            <c:numRef>
              <c:f>Sheet1!$C$126:$E$126</c:f>
              <c:numCache>
                <c:formatCode>0.0</c:formatCode>
                <c:ptCount val="3"/>
                <c:pt idx="0">
                  <c:v>5.1545562916495919</c:v>
                </c:pt>
                <c:pt idx="1">
                  <c:v>8.1772418416257491</c:v>
                </c:pt>
                <c:pt idx="2">
                  <c:v>11.23181873321481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01.01.2016 - 31.01.2016</c:v>
                </c:pt>
                <c:pt idx="1">
                  <c:v>01.01.2017 - 31.01.2017</c:v>
                </c:pt>
                <c:pt idx="2">
                  <c:v>01.01.2018 - 31.01.2018</c:v>
                </c:pt>
              </c:strCache>
            </c:strRef>
          </c:cat>
          <c:val>
            <c:numRef>
              <c:f>Sheet1!$C$127:$E$127</c:f>
              <c:numCache>
                <c:formatCode>0.0</c:formatCode>
                <c:ptCount val="3"/>
                <c:pt idx="0">
                  <c:v>12.640993505000001</c:v>
                </c:pt>
                <c:pt idx="1">
                  <c:v>6.1386140249999954</c:v>
                </c:pt>
                <c:pt idx="2">
                  <c:v>9.1596384400000002</c:v>
                </c:pt>
              </c:numCache>
            </c:numRef>
          </c:val>
        </c:ser>
        <c:dLbls>
          <c:showVal val="1"/>
        </c:dLbls>
        <c:overlap val="-25"/>
        <c:axId val="108437504"/>
        <c:axId val="108440192"/>
      </c:barChart>
      <c:catAx>
        <c:axId val="1084375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8440192"/>
        <c:crosses val="autoZero"/>
        <c:auto val="1"/>
        <c:lblAlgn val="ctr"/>
        <c:lblOffset val="100"/>
      </c:catAx>
      <c:valAx>
        <c:axId val="108440192"/>
        <c:scaling>
          <c:orientation val="minMax"/>
        </c:scaling>
        <c:delete val="1"/>
        <c:axPos val="l"/>
        <c:numFmt formatCode="0.0" sourceLinked="1"/>
        <c:tickLblPos val="nextTo"/>
        <c:crossAx val="1084375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78543307086613"/>
          <c:y val="0.12913332995938218"/>
          <c:w val="0.79842913385826753"/>
          <c:h val="7.1969103497766959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Sheet1!$B$196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1"/>
              <c:layout>
                <c:manualLayout>
                  <c:x val="-8.4246190420022501E-2"/>
                  <c:y val="-4.5911509427141409E-2"/>
                </c:manualLayout>
              </c:layout>
              <c:showVal val="1"/>
            </c:dLbl>
            <c:dLbl>
              <c:idx val="2"/>
              <c:layout>
                <c:manualLayout>
                  <c:x val="-9.4776964222525198E-2"/>
                  <c:y val="-2.9216415089999094E-2"/>
                </c:manualLayout>
              </c:layout>
              <c:showVal val="1"/>
            </c:dLbl>
            <c:dLbl>
              <c:idx val="3"/>
              <c:layout>
                <c:manualLayout>
                  <c:x val="-5.2653869012513996E-2"/>
                  <c:y val="3.756396225857024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Sheet1!$C$195:$F$195</c:f>
              <c:strCache>
                <c:ptCount val="4"/>
                <c:pt idx="0">
                  <c:v>31.01.2016</c:v>
                </c:pt>
                <c:pt idx="1">
                  <c:v>31.01.2016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Sheet1!$C$196:$F$196</c:f>
              <c:numCache>
                <c:formatCode>#,##0.00_);\(#,##0.00\)</c:formatCode>
                <c:ptCount val="4"/>
                <c:pt idx="0">
                  <c:v>326.772223</c:v>
                </c:pt>
                <c:pt idx="1">
                  <c:v>508.91788300000002</c:v>
                </c:pt>
                <c:pt idx="2">
                  <c:v>549.73017000000004</c:v>
                </c:pt>
                <c:pt idx="3" formatCode="0.00;[Red]0.00">
                  <c:v>567.58021900000006</c:v>
                </c:pt>
              </c:numCache>
            </c:numRef>
          </c:val>
        </c:ser>
        <c:dLbls>
          <c:showVal val="1"/>
        </c:dLbls>
        <c:marker val="1"/>
        <c:axId val="108823296"/>
        <c:axId val="108824832"/>
      </c:lineChart>
      <c:catAx>
        <c:axId val="108823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8824832"/>
        <c:crosses val="autoZero"/>
        <c:auto val="1"/>
        <c:lblAlgn val="ctr"/>
        <c:lblOffset val="100"/>
      </c:catAx>
      <c:valAx>
        <c:axId val="108824832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08823296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Sheet1!$B$215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0"/>
              <c:layout>
                <c:manualLayout>
                  <c:x val="-6.795445531882198E-2"/>
                  <c:y val="-4.5911509427141409E-2"/>
                </c:manualLayout>
              </c:layout>
              <c:showVal val="1"/>
            </c:dLbl>
            <c:dLbl>
              <c:idx val="1"/>
              <c:layout>
                <c:manualLayout>
                  <c:x val="-6.795445531882198E-2"/>
                  <c:y val="-3.7563962258570248E-2"/>
                </c:manualLayout>
              </c:layout>
              <c:showVal val="1"/>
            </c:dLbl>
            <c:dLbl>
              <c:idx val="2"/>
              <c:layout>
                <c:manualLayout>
                  <c:x val="-8.9699881020845001E-2"/>
                  <c:y val="-1.2521320752856741E-2"/>
                </c:manualLayout>
              </c:layout>
              <c:showVal val="1"/>
            </c:dLbl>
            <c:dLbl>
              <c:idx val="3"/>
              <c:layout>
                <c:manualLayout>
                  <c:x val="-6.795445531882198E-2"/>
                  <c:y val="-3.339018867428460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Sheet1!$C$214:$F$214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Sheet1!$C$215:$F$215</c:f>
              <c:numCache>
                <c:formatCode>0</c:formatCode>
                <c:ptCount val="4"/>
                <c:pt idx="0">
                  <c:v>2028.96070639701</c:v>
                </c:pt>
                <c:pt idx="1">
                  <c:v>2188.5500707331212</c:v>
                </c:pt>
                <c:pt idx="2">
                  <c:v>2787.4616453650397</c:v>
                </c:pt>
                <c:pt idx="3" formatCode="0;[Red]0">
                  <c:v>3075.6169935319722</c:v>
                </c:pt>
              </c:numCache>
            </c:numRef>
          </c:val>
        </c:ser>
        <c:dLbls>
          <c:showVal val="1"/>
        </c:dLbls>
        <c:marker val="1"/>
        <c:axId val="109116800"/>
        <c:axId val="109508096"/>
      </c:lineChart>
      <c:catAx>
        <c:axId val="1091168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09508096"/>
        <c:crosses val="autoZero"/>
        <c:auto val="1"/>
        <c:lblAlgn val="ctr"/>
        <c:lblOffset val="100"/>
      </c:catAx>
      <c:valAx>
        <c:axId val="109508096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109116800"/>
        <c:crosses val="autoZero"/>
        <c:crossBetween val="between"/>
      </c:valAx>
    </c:plotArea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պարտքի կառուցվածքն ըստ տոկոսադրույքի, %</a:t>
            </a:r>
          </a:p>
        </c:rich>
      </c:tx>
    </c:title>
    <c:plotArea>
      <c:layout>
        <c:manualLayout>
          <c:layoutTarget val="inner"/>
          <c:xMode val="edge"/>
          <c:yMode val="edge"/>
          <c:x val="0.10651968503937008"/>
          <c:y val="0.27146366730189136"/>
          <c:w val="0.59549033643521831"/>
          <c:h val="0.59992241604123742"/>
        </c:manualLayout>
      </c:layout>
      <c:barChart>
        <c:barDir val="col"/>
        <c:grouping val="stacked"/>
        <c:ser>
          <c:idx val="0"/>
          <c:order val="0"/>
          <c:tx>
            <c:strRef>
              <c:f>Sheet1!$B$47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Sheet1!$C$46:$E$46</c:f>
              <c:strCache>
                <c:ptCount val="3"/>
                <c:pt idx="0">
                  <c:v>31.01.2016</c:v>
                </c:pt>
                <c:pt idx="1">
                  <c:v>31.01.2017</c:v>
                </c:pt>
                <c:pt idx="2">
                  <c:v>31.01.2018</c:v>
                </c:pt>
              </c:strCache>
            </c:strRef>
          </c:cat>
          <c:val>
            <c:numRef>
              <c:f>Sheet1!$C$47:$E$47</c:f>
              <c:numCache>
                <c:formatCode>0.0</c:formatCode>
                <c:ptCount val="3"/>
                <c:pt idx="0">
                  <c:v>10.610419587621905</c:v>
                </c:pt>
                <c:pt idx="1">
                  <c:v>12.494705980220798</c:v>
                </c:pt>
                <c:pt idx="2">
                  <c:v>13.2702888315336</c:v>
                </c:pt>
              </c:numCache>
            </c:numRef>
          </c:val>
        </c:ser>
        <c:ser>
          <c:idx val="1"/>
          <c:order val="1"/>
          <c:tx>
            <c:strRef>
              <c:f>Sheet1!$B$48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elete val="1"/>
          </c:dLbls>
          <c:cat>
            <c:strRef>
              <c:f>Sheet1!$C$46:$E$46</c:f>
              <c:strCache>
                <c:ptCount val="3"/>
                <c:pt idx="0">
                  <c:v>31.01.2016</c:v>
                </c:pt>
                <c:pt idx="1">
                  <c:v>31.01.2017</c:v>
                </c:pt>
                <c:pt idx="2">
                  <c:v>31.01.2018</c:v>
                </c:pt>
              </c:strCache>
            </c:strRef>
          </c:cat>
          <c:val>
            <c:numRef>
              <c:f>Sheet1!$C$48:$E$48</c:f>
              <c:numCache>
                <c:formatCode>0.0</c:formatCode>
                <c:ptCount val="3"/>
                <c:pt idx="0">
                  <c:v>89.389580412378081</c:v>
                </c:pt>
                <c:pt idx="1">
                  <c:v>87.5052940197792</c:v>
                </c:pt>
                <c:pt idx="2">
                  <c:v>86.729711168466324</c:v>
                </c:pt>
              </c:numCache>
            </c:numRef>
          </c:val>
        </c:ser>
        <c:gapWidth val="55"/>
        <c:overlap val="100"/>
        <c:axId val="113400448"/>
        <c:axId val="108631168"/>
      </c:barChart>
      <c:catAx>
        <c:axId val="113400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8631168"/>
        <c:crosses val="autoZero"/>
        <c:auto val="1"/>
        <c:lblAlgn val="ctr"/>
        <c:lblOffset val="100"/>
      </c:catAx>
      <c:valAx>
        <c:axId val="108631168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340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5889654418197749"/>
          <c:w val="0.95119632773176011"/>
          <c:h val="6.283066992583268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պարտքի մինչև  մարում  միջին ժամկետը, տարի</a:t>
            </a:r>
          </a:p>
        </c:rich>
      </c:tx>
    </c:title>
    <c:plotArea>
      <c:layout>
        <c:manualLayout>
          <c:layoutTarget val="inner"/>
          <c:xMode val="edge"/>
          <c:yMode val="edge"/>
          <c:x val="0.10003018372703416"/>
          <c:y val="0.19082203266258385"/>
          <c:w val="0.54642808466422421"/>
          <c:h val="0.70650845727617484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Sheet1!$C$3:$E$3</c:f>
              <c:strCache>
                <c:ptCount val="3"/>
                <c:pt idx="0">
                  <c:v>31.01.2016</c:v>
                </c:pt>
                <c:pt idx="1">
                  <c:v>31.01.2017</c:v>
                </c:pt>
                <c:pt idx="2">
                  <c:v>31.01.2018</c:v>
                </c:pt>
              </c:strCache>
            </c:strRef>
          </c:cat>
          <c:val>
            <c:numRef>
              <c:f>Sheet1!$C$4:$E$4</c:f>
              <c:numCache>
                <c:formatCode>0.0</c:formatCode>
                <c:ptCount val="3"/>
                <c:pt idx="0">
                  <c:v>9.6619764415077984</c:v>
                </c:pt>
                <c:pt idx="1">
                  <c:v>9.2010092889001491</c:v>
                </c:pt>
                <c:pt idx="2">
                  <c:v>9.0809404120225299</c:v>
                </c:pt>
              </c:numCache>
            </c:numRef>
          </c:val>
        </c:ser>
        <c:gapWidth val="75"/>
        <c:overlap val="40"/>
        <c:axId val="109143168"/>
        <c:axId val="109144704"/>
      </c:barChart>
      <c:catAx>
        <c:axId val="1091431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9144704"/>
        <c:crosses val="autoZero"/>
        <c:auto val="1"/>
        <c:lblAlgn val="ctr"/>
        <c:lblOffset val="100"/>
      </c:catAx>
      <c:valAx>
        <c:axId val="109144704"/>
        <c:scaling>
          <c:orientation val="minMax"/>
          <c:max val="11"/>
          <c:min val="1"/>
        </c:scaling>
        <c:axPos val="l"/>
        <c:majorGridlines/>
        <c:numFmt formatCode="0.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91431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9.1502187226596671E-2"/>
          <c:y val="0.29371536891221967"/>
          <c:w val="0.65572003499562648"/>
          <c:h val="0.55591025080198297"/>
        </c:manualLayout>
      </c:layout>
      <c:barChart>
        <c:barDir val="col"/>
        <c:grouping val="clustered"/>
        <c:ser>
          <c:idx val="0"/>
          <c:order val="0"/>
          <c:tx>
            <c:strRef>
              <c:f>Sheet1!$B$26</c:f>
              <c:strCache>
                <c:ptCount val="1"/>
                <c:pt idx="0">
                  <c:v>Առաջիկա 365 օրվա ընթացքում մարման ենթակա ՀՀ կառավարության պարտքի տեսակարար կշիռը (պետական գանձապետական պարատոմսերի գծով), %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Sheet1!$C$24:$D$24</c:f>
              <c:strCache>
                <c:ptCount val="2"/>
                <c:pt idx="0">
                  <c:v>31.01.2017</c:v>
                </c:pt>
                <c:pt idx="1">
                  <c:v>31.01.2018</c:v>
                </c:pt>
              </c:strCache>
            </c:strRef>
          </c:cat>
          <c:val>
            <c:numRef>
              <c:f>Sheet1!$C$25:$D$25</c:f>
              <c:numCache>
                <c:formatCode>0.0;[Red]0.0</c:formatCode>
                <c:ptCount val="2"/>
                <c:pt idx="0">
                  <c:v>21.753842751090701</c:v>
                </c:pt>
                <c:pt idx="1">
                  <c:v>15.520467953447104</c:v>
                </c:pt>
              </c:numCache>
            </c:numRef>
          </c:val>
        </c:ser>
        <c:gapWidth val="75"/>
        <c:overlap val="40"/>
        <c:axId val="88152320"/>
        <c:axId val="109174784"/>
      </c:barChart>
      <c:catAx>
        <c:axId val="881523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9174784"/>
        <c:crosses val="autoZero"/>
        <c:auto val="1"/>
        <c:lblAlgn val="ctr"/>
        <c:lblOffset val="100"/>
      </c:catAx>
      <c:valAx>
        <c:axId val="109174784"/>
        <c:scaling>
          <c:orientation val="minMax"/>
          <c:max val="22"/>
          <c:min val="2"/>
        </c:scaling>
        <c:axPos val="l"/>
        <c:majorGridlines/>
        <c:numFmt formatCode="0.0;[Red]0.0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81523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/>
              <a:t>Կառավարության ներքին  և արտաքին պարտքի կշիռները, %</a:t>
            </a:r>
          </a:p>
        </c:rich>
      </c:tx>
    </c:title>
    <c:plotArea>
      <c:layout>
        <c:manualLayout>
          <c:layoutTarget val="inner"/>
          <c:xMode val="edge"/>
          <c:yMode val="edge"/>
          <c:x val="9.8701461655332057E-2"/>
          <c:y val="0.21603018372703447"/>
          <c:w val="0.57352089585566457"/>
          <c:h val="0.5715919400945122"/>
        </c:manualLayout>
      </c:layout>
      <c:barChart>
        <c:barDir val="col"/>
        <c:grouping val="stacked"/>
        <c:ser>
          <c:idx val="0"/>
          <c:order val="0"/>
          <c:tx>
            <c:strRef>
              <c:f>Sheet1!$B$72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Sheet1!$C$71:$E$71</c:f>
              <c:strCache>
                <c:ptCount val="3"/>
                <c:pt idx="0">
                  <c:v>31.01.2016</c:v>
                </c:pt>
                <c:pt idx="1">
                  <c:v>31.01.2017</c:v>
                </c:pt>
                <c:pt idx="2">
                  <c:v>31.01.2018</c:v>
                </c:pt>
              </c:strCache>
            </c:strRef>
          </c:cat>
          <c:val>
            <c:numRef>
              <c:f>Sheet1!$C$72:$E$72</c:f>
              <c:numCache>
                <c:formatCode>0.0</c:formatCode>
                <c:ptCount val="3"/>
                <c:pt idx="0">
                  <c:v>16.6843091826461</c:v>
                </c:pt>
                <c:pt idx="1">
                  <c:v>20.74997244450579</c:v>
                </c:pt>
                <c:pt idx="2">
                  <c:v>21.041528481805599</c:v>
                </c:pt>
              </c:numCache>
            </c:numRef>
          </c:val>
        </c:ser>
        <c:ser>
          <c:idx val="1"/>
          <c:order val="1"/>
          <c:tx>
            <c:strRef>
              <c:f>Sheet1!$B$73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Sheet1!$C$71:$E$71</c:f>
              <c:strCache>
                <c:ptCount val="3"/>
                <c:pt idx="0">
                  <c:v>31.01.2016</c:v>
                </c:pt>
                <c:pt idx="1">
                  <c:v>31.01.2017</c:v>
                </c:pt>
                <c:pt idx="2">
                  <c:v>31.01.2018</c:v>
                </c:pt>
              </c:strCache>
            </c:strRef>
          </c:cat>
          <c:val>
            <c:numRef>
              <c:f>Sheet1!$C$73:$E$73</c:f>
              <c:numCache>
                <c:formatCode>0.0</c:formatCode>
                <c:ptCount val="3"/>
                <c:pt idx="0">
                  <c:v>83.31569081735384</c:v>
                </c:pt>
                <c:pt idx="1">
                  <c:v>79.250027555494157</c:v>
                </c:pt>
                <c:pt idx="2">
                  <c:v>78.958471518194315</c:v>
                </c:pt>
              </c:numCache>
            </c:numRef>
          </c:val>
        </c:ser>
        <c:gapWidth val="75"/>
        <c:overlap val="100"/>
        <c:axId val="109499136"/>
        <c:axId val="109500672"/>
      </c:barChart>
      <c:catAx>
        <c:axId val="1094991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9500672"/>
        <c:crosses val="autoZero"/>
        <c:auto val="1"/>
        <c:lblAlgn val="ctr"/>
        <c:lblOffset val="100"/>
      </c:catAx>
      <c:valAx>
        <c:axId val="109500672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9499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5289926824365713E-2"/>
          <c:y val="0.89819333386001343"/>
          <c:w val="0.7645828113823625"/>
          <c:h val="7.4811360559858583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</a:t>
            </a:r>
            <a:r>
              <a:rPr lang="en-US" sz="900" b="1" i="0" strike="noStrike">
                <a:solidFill>
                  <a:srgbClr val="000000"/>
                </a:solidFill>
                <a:latin typeface="GHEA Grapalat"/>
              </a:rPr>
              <a:t>6</a:t>
            </a: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-201</a:t>
            </a:r>
            <a:r>
              <a:rPr lang="en-US" sz="900" b="1" i="0" strike="noStrike">
                <a:solidFill>
                  <a:srgbClr val="000000"/>
                </a:solidFill>
                <a:latin typeface="GHEA Grapalat"/>
              </a:rPr>
              <a:t>8</a:t>
            </a: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 թթ. /հունվար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3397060368959587"/>
          <c:y val="0.21527777777777779"/>
          <c:w val="0.56358852185653041"/>
          <c:h val="0.69097222222222221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9700418580550362E-2"/>
                  <c:y val="-4.6296296296296349E-2"/>
                </c:manualLayout>
              </c:layout>
              <c:showVal val="1"/>
            </c:dLbl>
            <c:dLbl>
              <c:idx val="1"/>
              <c:layout>
                <c:manualLayout>
                  <c:x val="-0.10057319659031398"/>
                  <c:y val="-4.6296296296296349E-2"/>
                </c:manualLayout>
              </c:layout>
              <c:showVal val="1"/>
            </c:dLbl>
            <c:dLbl>
              <c:idx val="2"/>
              <c:layout>
                <c:manualLayout>
                  <c:x val="-0.11416416910251849"/>
                  <c:y val="-4.6296296296296349E-2"/>
                </c:manualLayout>
              </c:layout>
              <c:showVal val="1"/>
            </c:dLbl>
            <c:dLbl>
              <c:idx val="3"/>
              <c:layout>
                <c:manualLayout>
                  <c:x val="-7.8827640570786603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Sheet1!$C$27:$F$27</c:f>
              <c:numCache>
                <c:formatCode>#,##0.00</c:formatCode>
                <c:ptCount val="4"/>
                <c:pt idx="0">
                  <c:v>5085.3804625416124</c:v>
                </c:pt>
                <c:pt idx="1">
                  <c:v>5970.6899694363547</c:v>
                </c:pt>
                <c:pt idx="2">
                  <c:v>6774.6042683684846</c:v>
                </c:pt>
                <c:pt idx="3">
                  <c:v>6898.1262294965427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6309167014645503E-2"/>
                  <c:y val="1.8518518518518535E-2"/>
                </c:manualLayout>
              </c:layout>
              <c:showVal val="1"/>
            </c:dLbl>
            <c:dLbl>
              <c:idx val="1"/>
              <c:layout>
                <c:manualLayout>
                  <c:x val="-2.7181945024409731E-3"/>
                  <c:y val="9.2592592592592778E-3"/>
                </c:manualLayout>
              </c:layout>
              <c:showVal val="1"/>
            </c:dLbl>
            <c:dLbl>
              <c:idx val="2"/>
              <c:layout>
                <c:manualLayout>
                  <c:x val="-2.7181945024409238E-2"/>
                  <c:y val="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1.0872778009763684E-2"/>
                  <c:y val="-9.259259259259277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Sheet1!$C$28:$F$28</c:f>
              <c:numCache>
                <c:formatCode>#,##0.00</c:formatCode>
                <c:ptCount val="4"/>
                <c:pt idx="0">
                  <c:v>4607.8015509537745</c:v>
                </c:pt>
                <c:pt idx="1">
                  <c:v>5459.479047947354</c:v>
                </c:pt>
                <c:pt idx="2">
                  <c:v>6173.062647061025</c:v>
                </c:pt>
                <c:pt idx="3">
                  <c:v>6285.6379952413154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9700418580550362E-2"/>
                  <c:y val="-2.314851268591429E-2"/>
                </c:manualLayout>
              </c:layout>
              <c:showVal val="1"/>
            </c:dLbl>
            <c:dLbl>
              <c:idx val="1"/>
              <c:layout>
                <c:manualLayout>
                  <c:x val="-8.9700418580550362E-2"/>
                  <c:y val="-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6.7954862561022886E-2"/>
                  <c:y val="-6.0185185185185147E-2"/>
                </c:manualLayout>
              </c:layout>
              <c:showVal val="1"/>
            </c:dLbl>
            <c:dLbl>
              <c:idx val="3"/>
              <c:layout>
                <c:manualLayout>
                  <c:x val="-1.3590972512204586E-2"/>
                  <c:y val="1.851851851851853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Sheet1!$C$29:$F$29</c:f>
              <c:numCache>
                <c:formatCode>0.00</c:formatCode>
                <c:ptCount val="4"/>
                <c:pt idx="0">
                  <c:v>477.57891158783696</c:v>
                </c:pt>
                <c:pt idx="1">
                  <c:v>511.21092148899066</c:v>
                </c:pt>
                <c:pt idx="2">
                  <c:v>601.54162130746317</c:v>
                </c:pt>
                <c:pt idx="3">
                  <c:v>612.48823425521402</c:v>
                </c:pt>
              </c:numCache>
            </c:numRef>
          </c:val>
        </c:ser>
        <c:dLbls>
          <c:showVal val="1"/>
        </c:dLbls>
        <c:marker val="1"/>
        <c:axId val="38662144"/>
        <c:axId val="38664064"/>
      </c:lineChart>
      <c:catAx>
        <c:axId val="386621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38664064"/>
        <c:crosses val="autoZero"/>
        <c:auto val="1"/>
        <c:lblAlgn val="ctr"/>
        <c:lblOffset val="100"/>
      </c:catAx>
      <c:valAx>
        <c:axId val="38664064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38662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19497908809579"/>
          <c:y val="0.2123552785068534"/>
          <c:w val="0.31312872962504601"/>
          <c:h val="0.69033537474482354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կառավարության արտաքին, ներքին և ՀՀ ԿԲ արտաքին  պարտքերը 201</a:t>
            </a:r>
            <a:r>
              <a:rPr lang="en-US" sz="900" b="1" i="0" strike="noStrike">
                <a:solidFill>
                  <a:srgbClr val="000000"/>
                </a:solidFill>
                <a:latin typeface="GHEA Grapalat"/>
              </a:rPr>
              <a:t>6</a:t>
            </a: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-201</a:t>
            </a:r>
            <a:r>
              <a:rPr lang="en-US" sz="900" b="1" i="0" strike="noStrike">
                <a:solidFill>
                  <a:srgbClr val="000000"/>
                </a:solidFill>
                <a:latin typeface="GHEA Grapalat"/>
              </a:rPr>
              <a:t>8</a:t>
            </a: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թթ. /հունվար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2203475170110936"/>
          <c:y val="0.22615740740740764"/>
          <c:w val="0.5877360524837677"/>
          <c:h val="0.67117308253135111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7.9656527455548271E-2"/>
                  <c:y val="-4.6296296296296349E-2"/>
                </c:manualLayout>
              </c:layout>
              <c:showVal val="1"/>
            </c:dLbl>
            <c:dLbl>
              <c:idx val="1"/>
              <c:layout>
                <c:manualLayout>
                  <c:x val="-8.5150081073172262E-2"/>
                  <c:y val="-4.6296296296296349E-2"/>
                </c:manualLayout>
              </c:layout>
              <c:showVal val="1"/>
            </c:dLbl>
            <c:dLbl>
              <c:idx val="2"/>
              <c:layout>
                <c:manualLayout>
                  <c:x val="-7.9656527455548298E-2"/>
                  <c:y val="-6.0185185185185217E-2"/>
                </c:manualLayout>
              </c:layout>
              <c:showVal val="1"/>
            </c:dLbl>
            <c:dLbl>
              <c:idx val="3"/>
              <c:layout>
                <c:manualLayout>
                  <c:x val="-5.7682312985052116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Sheet1!$C$49:$F$49</c:f>
              <c:numCache>
                <c:formatCode>#,##0.00;[Red]#,##0.00</c:formatCode>
                <c:ptCount val="4"/>
                <c:pt idx="0">
                  <c:v>1876.3218527811512</c:v>
                </c:pt>
                <c:pt idx="1">
                  <c:v>2103.7415107334423</c:v>
                </c:pt>
                <c:pt idx="2">
                  <c:v>2368.8772739422429</c:v>
                </c:pt>
                <c:pt idx="3">
                  <c:v>2385.38768690283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7.1416197029112199E-2"/>
                  <c:y val="-6.0185185185185147E-2"/>
                </c:manualLayout>
              </c:layout>
              <c:showVal val="1"/>
            </c:dLbl>
            <c:dLbl>
              <c:idx val="1"/>
              <c:layout>
                <c:manualLayout>
                  <c:x val="-6.0429089793864126E-2"/>
                  <c:y val="-5.555555555555549E-2"/>
                </c:manualLayout>
              </c:layout>
              <c:showVal val="1"/>
            </c:dLbl>
            <c:dLbl>
              <c:idx val="2"/>
              <c:layout>
                <c:manualLayout>
                  <c:x val="-4.3948428940992088E-2"/>
                  <c:y val="-4.6296296296296266E-2"/>
                </c:manualLayout>
              </c:layout>
              <c:showVal val="1"/>
            </c:dLbl>
            <c:dLbl>
              <c:idx val="3"/>
              <c:layout>
                <c:manualLayout>
                  <c:x val="-5.2188759367428117E-2"/>
                  <c:y val="-4.62962962962963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Sheet1!$C$50:$F$50</c:f>
              <c:numCache>
                <c:formatCode>0.00</c:formatCode>
                <c:ptCount val="4"/>
                <c:pt idx="0">
                  <c:v>375.74115524749925</c:v>
                </c:pt>
                <c:pt idx="1">
                  <c:v>550.82098674999997</c:v>
                </c:pt>
                <c:pt idx="2">
                  <c:v>619.50235350000003</c:v>
                </c:pt>
                <c:pt idx="3">
                  <c:v>635.67850275000069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3733884044060032E-2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1.3733884044060105E-2"/>
                  <c:y val="1.8518518518518535E-2"/>
                </c:manualLayout>
              </c:layout>
              <c:showVal val="1"/>
            </c:dLbl>
            <c:dLbl>
              <c:idx val="2"/>
              <c:layout>
                <c:manualLayout>
                  <c:x val="-1.6480660852872041E-2"/>
                  <c:y val="2.7777777777777832E-2"/>
                </c:manualLayout>
              </c:layout>
              <c:showVal val="1"/>
            </c:dLbl>
            <c:dLbl>
              <c:idx val="3"/>
              <c:layout>
                <c:manualLayout>
                  <c:x val="-3.0214544896932063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Sheet1!$C$51:$F$51</c:f>
              <c:numCache>
                <c:formatCode>0.00</c:formatCode>
                <c:ptCount val="4"/>
                <c:pt idx="0">
                  <c:v>233.41669303855485</c:v>
                </c:pt>
                <c:pt idx="1">
                  <c:v>248.56608635559218</c:v>
                </c:pt>
                <c:pt idx="2">
                  <c:v>291.206298874943</c:v>
                </c:pt>
                <c:pt idx="3">
                  <c:v>294.38022003008302</c:v>
                </c:pt>
              </c:numCache>
            </c:numRef>
          </c:val>
        </c:ser>
        <c:dLbls>
          <c:showVal val="1"/>
        </c:dLbls>
        <c:marker val="1"/>
        <c:axId val="81703296"/>
        <c:axId val="81705984"/>
      </c:lineChart>
      <c:catAx>
        <c:axId val="81703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1705984"/>
        <c:crosses val="autoZero"/>
        <c:auto val="1"/>
        <c:lblAlgn val="ctr"/>
        <c:lblOffset val="100"/>
      </c:catAx>
      <c:valAx>
        <c:axId val="81705984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1703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81531667633146"/>
          <c:y val="0.22000874890638669"/>
          <c:w val="0.29535982884336281"/>
          <c:h val="0.7120654709827938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/>
              <a:t>ՀՀ  կառավարության արտաքին, ներքին և ՀՀ ԿԲ արտաքին պարտքերը 201</a:t>
            </a:r>
            <a:r>
              <a:rPr lang="en-US" sz="900"/>
              <a:t>6</a:t>
            </a:r>
            <a:r>
              <a:rPr lang="hy-AM" sz="900"/>
              <a:t>-201</a:t>
            </a:r>
            <a:r>
              <a:rPr lang="en-US" sz="900"/>
              <a:t>8</a:t>
            </a:r>
            <a:r>
              <a:rPr lang="hy-AM" sz="900"/>
              <a:t>թթ. /դեկտեմբեր 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3381999558422597"/>
          <c:y val="0.22200240594925635"/>
          <c:w val="0.60812891835781191"/>
          <c:h val="0.67532808398950206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694625249670955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0.10324867483984261"/>
                  <c:y val="-4.6296296296296349E-2"/>
                </c:manualLayout>
              </c:layout>
              <c:showVal val="1"/>
            </c:dLbl>
            <c:dLbl>
              <c:idx val="3"/>
              <c:layout>
                <c:manualLayout>
                  <c:x val="-8.151211171566515E-2"/>
                  <c:y val="-4.629629629629639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Sheet1!$C$71:$F$71</c:f>
              <c:numCache>
                <c:formatCode>#,##0.00</c:formatCode>
                <c:ptCount val="4"/>
                <c:pt idx="0">
                  <c:v>3839.0216936698798</c:v>
                </c:pt>
                <c:pt idx="1">
                  <c:v>4326.6386498847114</c:v>
                </c:pt>
                <c:pt idx="2">
                  <c:v>4893.3635074204503</c:v>
                </c:pt>
                <c:pt idx="3">
                  <c:v>4963.0436862094202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8.151211171566515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8.151211171566515E-2"/>
                  <c:y val="-5.0925925925925923E-2"/>
                </c:manualLayout>
              </c:layout>
              <c:showVal val="1"/>
            </c:dLbl>
            <c:dLbl>
              <c:idx val="2"/>
              <c:layout>
                <c:manualLayout>
                  <c:x val="-8.4229182106187475E-2"/>
                  <c:y val="-5.0925925925926076E-2"/>
                </c:manualLayout>
              </c:layout>
              <c:showVal val="1"/>
            </c:dLbl>
            <c:dLbl>
              <c:idx val="3"/>
              <c:layout>
                <c:manualLayout>
                  <c:x val="-4.0756055857832686E-2"/>
                  <c:y val="-5.092592592592592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Sheet1!$C$72:$F$72</c:f>
              <c:numCache>
                <c:formatCode>#,##0.00;[Red]#,##0.00</c:formatCode>
                <c:ptCount val="4"/>
                <c:pt idx="0">
                  <c:v>768.77985728388853</c:v>
                </c:pt>
                <c:pt idx="1">
                  <c:v>1132.8403980626499</c:v>
                </c:pt>
                <c:pt idx="2">
                  <c:v>1279.6991396405699</c:v>
                </c:pt>
                <c:pt idx="3">
                  <c:v>1322.5943090318988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1.3585351952610882E-2"/>
                  <c:y val="2.3148148148148147E-2"/>
                </c:manualLayout>
              </c:layout>
              <c:showVal val="1"/>
            </c:dLbl>
            <c:dLbl>
              <c:idx val="1"/>
              <c:layout>
                <c:manualLayout>
                  <c:x val="-1.3585351952610882E-2"/>
                  <c:y val="2.7777777777777832E-2"/>
                </c:manualLayout>
              </c:layout>
              <c:showVal val="1"/>
            </c:dLbl>
            <c:dLbl>
              <c:idx val="2"/>
              <c:layout>
                <c:manualLayout>
                  <c:x val="-4.3473126248354775E-2"/>
                  <c:y val="3.2407407407407447E-2"/>
                </c:manualLayout>
              </c:layout>
              <c:showVal val="1"/>
            </c:dLbl>
            <c:dLbl>
              <c:idx val="3"/>
              <c:layout>
                <c:manualLayout>
                  <c:x val="-2.1736563124177401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Sheet1!$C$73:$F$73</c:f>
              <c:numCache>
                <c:formatCode>0.00</c:formatCode>
                <c:ptCount val="4"/>
                <c:pt idx="0">
                  <c:v>477.57891158783696</c:v>
                </c:pt>
                <c:pt idx="1">
                  <c:v>511.21092148899066</c:v>
                </c:pt>
                <c:pt idx="2">
                  <c:v>601.54162130746317</c:v>
                </c:pt>
                <c:pt idx="3">
                  <c:v>612.48823425521402</c:v>
                </c:pt>
              </c:numCache>
            </c:numRef>
          </c:val>
        </c:ser>
        <c:dLbls>
          <c:showVal val="1"/>
        </c:dLbls>
        <c:marker val="1"/>
        <c:axId val="81987072"/>
        <c:axId val="81988608"/>
      </c:lineChart>
      <c:catAx>
        <c:axId val="81987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1988608"/>
        <c:crosses val="autoZero"/>
        <c:auto val="1"/>
        <c:lblAlgn val="ctr"/>
        <c:lblOffset val="100"/>
      </c:catAx>
      <c:valAx>
        <c:axId val="81988608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8198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6823552165187"/>
          <c:y val="0.22227034120734909"/>
          <c:w val="0.26234341544733675"/>
          <c:h val="0.77698673082531355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>
              <a:latin typeface="GHEA Grapalat" pitchFamily="50" charset="0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Sheet1!$B$236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0196522871607919"/>
                  <c:y val="-4.4184649089890705E-2"/>
                </c:manualLayout>
              </c:layout>
              <c:showVal val="1"/>
            </c:dLbl>
            <c:dLbl>
              <c:idx val="1"/>
              <c:layout>
                <c:manualLayout>
                  <c:x val="-9.6598637731022244E-2"/>
                  <c:y val="-5.0496741817017979E-2"/>
                </c:manualLayout>
              </c:layout>
              <c:showVal val="1"/>
            </c:dLbl>
            <c:dLbl>
              <c:idx val="2"/>
              <c:layout>
                <c:manualLayout>
                  <c:x val="-8.5865455760908746E-2"/>
                  <c:y val="-6.3120927271272428E-2"/>
                </c:manualLayout>
              </c:layout>
              <c:showVal val="1"/>
            </c:dLbl>
            <c:dLbl>
              <c:idx val="3"/>
              <c:layout>
                <c:manualLayout>
                  <c:x val="-8.3182160268380254E-2"/>
                  <c:y val="-8.205720545265418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Sheet1!$C$235:$F$235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Sheet1!$C$236:$F$236</c:f>
              <c:numCache>
                <c:formatCode>#,##0.0;[Red]#,##0.0</c:formatCode>
                <c:ptCount val="4"/>
                <c:pt idx="0">
                  <c:v>2937.16590441157</c:v>
                </c:pt>
                <c:pt idx="1">
                  <c:v>3405.7462433898477</c:v>
                </c:pt>
                <c:pt idx="2">
                  <c:v>4021.0232631182698</c:v>
                </c:pt>
                <c:pt idx="3">
                  <c:v>4088.0026781001698</c:v>
                </c:pt>
              </c:numCache>
            </c:numRef>
          </c:val>
        </c:ser>
        <c:dLbls>
          <c:showVal val="1"/>
        </c:dLbls>
        <c:marker val="1"/>
        <c:axId val="82086912"/>
        <c:axId val="82103680"/>
      </c:lineChart>
      <c:catAx>
        <c:axId val="8208691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2103680"/>
        <c:crosses val="autoZero"/>
        <c:auto val="1"/>
        <c:lblAlgn val="ctr"/>
        <c:lblOffset val="100"/>
      </c:catAx>
      <c:valAx>
        <c:axId val="82103680"/>
        <c:scaling>
          <c:orientation val="minMax"/>
          <c:min val="2000"/>
        </c:scaling>
        <c:axPos val="l"/>
        <c:majorGridlines/>
        <c:numFmt formatCode="#,##0.0;[Red]#,##0.0" sourceLinked="1"/>
        <c:majorTickMark val="none"/>
        <c:tickLblPos val="nextTo"/>
        <c:txPr>
          <a:bodyPr/>
          <a:lstStyle/>
          <a:p>
            <a:pPr>
              <a:defRPr sz="800">
                <a:latin typeface="GHEA Grapalat" pitchFamily="50" charset="0"/>
              </a:defRPr>
            </a:pPr>
            <a:endParaRPr lang="en-US"/>
          </a:p>
        </c:txPr>
        <c:crossAx val="82086912"/>
        <c:crosses val="autoZero"/>
        <c:crossBetween val="between"/>
        <c:majorUnit val="1000"/>
        <c:minorUnit val="1000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արտաքին պարտքի կառուցվածքն ըստ վարկատուների, %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31953910060244972"/>
          <c:w val="0.99206476980646874"/>
          <c:h val="0.50710854570226271"/>
        </c:manualLayout>
      </c:layout>
      <c:barChart>
        <c:barDir val="col"/>
        <c:grouping val="stacked"/>
        <c:ser>
          <c:idx val="0"/>
          <c:order val="0"/>
          <c:tx>
            <c:strRef>
              <c:f>Sheet1!$B$175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Sheet1!$C$175:$F$175</c:f>
              <c:numCache>
                <c:formatCode>0.00</c:formatCode>
                <c:ptCount val="4"/>
                <c:pt idx="0">
                  <c:v>84.8068439002095</c:v>
                </c:pt>
                <c:pt idx="1">
                  <c:v>83.654077897161358</c:v>
                </c:pt>
                <c:pt idx="2">
                  <c:v>78.766588519272602</c:v>
                </c:pt>
                <c:pt idx="3" formatCode="0.00;[Red]0.00">
                  <c:v>78.5110735054934</c:v>
                </c:pt>
              </c:numCache>
            </c:numRef>
          </c:val>
        </c:ser>
        <c:ser>
          <c:idx val="1"/>
          <c:order val="1"/>
          <c:tx>
            <c:strRef>
              <c:f>Sheet1!$B$176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Sheet1!$C$176:$F$176</c:f>
              <c:numCache>
                <c:formatCode>0.00</c:formatCode>
                <c:ptCount val="4"/>
                <c:pt idx="0">
                  <c:v>14.410561726923101</c:v>
                </c:pt>
                <c:pt idx="1">
                  <c:v>15.683342239204215</c:v>
                </c:pt>
                <c:pt idx="2">
                  <c:v>20.622226256782977</c:v>
                </c:pt>
                <c:pt idx="3" formatCode="0.00;[Red]0.00">
                  <c:v>20.869768649875599</c:v>
                </c:pt>
              </c:numCache>
            </c:numRef>
          </c:val>
        </c:ser>
        <c:ser>
          <c:idx val="2"/>
          <c:order val="2"/>
          <c:tx>
            <c:strRef>
              <c:f>Sheet1!$B$177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1.3225383655883443E-2"/>
                  <c:y val="-3.7848665933866141E-2"/>
                </c:manualLayout>
              </c:layout>
              <c:showVal val="1"/>
            </c:dLbl>
            <c:dLbl>
              <c:idx val="1"/>
              <c:layout>
                <c:manualLayout>
                  <c:x val="-2.6450767311766883E-3"/>
                  <c:y val="-3.7848665933866182E-2"/>
                </c:manualLayout>
              </c:layout>
              <c:showVal val="1"/>
            </c:dLbl>
            <c:dLbl>
              <c:idx val="2"/>
              <c:layout>
                <c:manualLayout>
                  <c:x val="-5.2901534623533801E-3"/>
                  <c:y val="-3.7848665933866182E-2"/>
                </c:manualLayout>
              </c:layout>
              <c:showVal val="1"/>
            </c:dLbl>
            <c:dLbl>
              <c:idx val="3"/>
              <c:layout>
                <c:manualLayout>
                  <c:x val="-2.6450767311766883E-3"/>
                  <c:y val="-3.784866593386623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Sheet1!$C$174:$F$174</c:f>
              <c:strCache>
                <c:ptCount val="4"/>
                <c:pt idx="0">
                  <c:v>31.01.2016</c:v>
                </c:pt>
                <c:pt idx="1">
                  <c:v>31.01.2017</c:v>
                </c:pt>
                <c:pt idx="2">
                  <c:v>31.12.2017</c:v>
                </c:pt>
                <c:pt idx="3">
                  <c:v>31.01.2018</c:v>
                </c:pt>
              </c:strCache>
            </c:strRef>
          </c:cat>
          <c:val>
            <c:numRef>
              <c:f>Sheet1!$C$177:$F$177</c:f>
              <c:numCache>
                <c:formatCode>0.00</c:formatCode>
                <c:ptCount val="4"/>
                <c:pt idx="0">
                  <c:v>0.78259437286741851</c:v>
                </c:pt>
                <c:pt idx="1">
                  <c:v>0.66257986363427723</c:v>
                </c:pt>
                <c:pt idx="2">
                  <c:v>0.61118522394436203</c:v>
                </c:pt>
                <c:pt idx="3" formatCode="0.00;[Red]0.00">
                  <c:v>0.61915784463096701</c:v>
                </c:pt>
              </c:numCache>
            </c:numRef>
          </c:val>
        </c:ser>
        <c:dLbls>
          <c:showVal val="1"/>
        </c:dLbls>
        <c:gapWidth val="95"/>
        <c:overlap val="100"/>
        <c:axId val="82689408"/>
        <c:axId val="85415808"/>
      </c:barChart>
      <c:catAx>
        <c:axId val="82689408"/>
        <c:scaling>
          <c:orientation val="minMax"/>
        </c:scaling>
        <c:axPos val="b"/>
        <c:numFmt formatCode="0.00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5415808"/>
        <c:crosses val="autoZero"/>
        <c:auto val="1"/>
        <c:lblAlgn val="ctr"/>
        <c:lblOffset val="100"/>
      </c:catAx>
      <c:valAx>
        <c:axId val="85415808"/>
        <c:scaling>
          <c:orientation val="minMax"/>
        </c:scaling>
        <c:delete val="1"/>
        <c:axPos val="l"/>
        <c:numFmt formatCode="0.00" sourceLinked="1"/>
        <c:tickLblPos val="nextTo"/>
        <c:crossAx val="826894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4584578202943217E-2"/>
          <c:y val="0.19492062955941072"/>
          <c:w val="0.97347571205153272"/>
          <c:h val="0.1309265820320164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պարտքի գծով վճարված տոկոսավճարներ, մլրդ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Sheet1!$B$135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Sheet1!$C$134:$E$134</c:f>
              <c:strCache>
                <c:ptCount val="3"/>
                <c:pt idx="0">
                  <c:v>01.01.2016-31.01.2016</c:v>
                </c:pt>
                <c:pt idx="1">
                  <c:v>01.01.2017-31.01.2017</c:v>
                </c:pt>
                <c:pt idx="2">
                  <c:v>01.01.2018-31.01.2018</c:v>
                </c:pt>
              </c:strCache>
            </c:strRef>
          </c:cat>
          <c:val>
            <c:numRef>
              <c:f>Sheet1!$C$135:$E$135</c:f>
              <c:numCache>
                <c:formatCode>0.00</c:formatCode>
                <c:ptCount val="3"/>
                <c:pt idx="0">
                  <c:v>0.802177519773</c:v>
                </c:pt>
                <c:pt idx="1">
                  <c:v>1.5519325877855998</c:v>
                </c:pt>
                <c:pt idx="2">
                  <c:v>1.8927329155492001</c:v>
                </c:pt>
              </c:numCache>
            </c:numRef>
          </c:val>
        </c:ser>
        <c:dLbls>
          <c:showVal val="1"/>
        </c:dLbls>
        <c:overlap val="-25"/>
        <c:axId val="85625472"/>
        <c:axId val="85915520"/>
      </c:barChart>
      <c:catAx>
        <c:axId val="856254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5915520"/>
        <c:crosses val="autoZero"/>
        <c:auto val="1"/>
        <c:lblAlgn val="ctr"/>
        <c:lblOffset val="100"/>
      </c:catAx>
      <c:valAx>
        <c:axId val="85915520"/>
        <c:scaling>
          <c:orientation val="minMax"/>
        </c:scaling>
        <c:delete val="1"/>
        <c:axPos val="l"/>
        <c:numFmt formatCode="0.00" sourceLinked="1"/>
        <c:tickLblPos val="nextTo"/>
        <c:crossAx val="85625472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պարտքի գծով վճարված ներքին և արտաքին տոկոսավճարներ, մլրդ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0"/>
          <c:y val="0.27788127549806357"/>
          <c:w val="1"/>
          <c:h val="0.54699379586710828"/>
        </c:manualLayout>
      </c:layout>
      <c:barChart>
        <c:barDir val="col"/>
        <c:grouping val="stacked"/>
        <c:ser>
          <c:idx val="0"/>
          <c:order val="0"/>
          <c:tx>
            <c:strRef>
              <c:f>Sheet1!$B$155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Sheet1!$C$154:$E$154</c:f>
              <c:strCache>
                <c:ptCount val="3"/>
                <c:pt idx="0">
                  <c:v>01.01.2016-31.01.2016</c:v>
                </c:pt>
                <c:pt idx="1">
                  <c:v>01.01.2017-31.01.2017</c:v>
                </c:pt>
                <c:pt idx="2">
                  <c:v>01.01.2018-31.01.2018</c:v>
                </c:pt>
              </c:strCache>
            </c:strRef>
          </c:cat>
          <c:val>
            <c:numRef>
              <c:f>Sheet1!$C$155:$E$155</c:f>
              <c:numCache>
                <c:formatCode>0.00</c:formatCode>
                <c:ptCount val="3"/>
                <c:pt idx="0">
                  <c:v>0.10207937775000002</c:v>
                </c:pt>
                <c:pt idx="1">
                  <c:v>0.66372476300000083</c:v>
                </c:pt>
                <c:pt idx="2">
                  <c:v>0.36168640900000043</c:v>
                </c:pt>
              </c:numCache>
            </c:numRef>
          </c:val>
        </c:ser>
        <c:ser>
          <c:idx val="1"/>
          <c:order val="1"/>
          <c:tx>
            <c:strRef>
              <c:f>Sheet1!$B$156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Sheet1!$C$154:$E$154</c:f>
              <c:strCache>
                <c:ptCount val="3"/>
                <c:pt idx="0">
                  <c:v>01.01.2016-31.01.2016</c:v>
                </c:pt>
                <c:pt idx="1">
                  <c:v>01.01.2017-31.01.2017</c:v>
                </c:pt>
                <c:pt idx="2">
                  <c:v>01.01.2018-31.01.2018</c:v>
                </c:pt>
              </c:strCache>
            </c:strRef>
          </c:cat>
          <c:val>
            <c:numRef>
              <c:f>Sheet1!$C$156:$E$156</c:f>
              <c:numCache>
                <c:formatCode>0.00</c:formatCode>
                <c:ptCount val="3"/>
                <c:pt idx="0">
                  <c:v>0.7000981420230008</c:v>
                </c:pt>
                <c:pt idx="1">
                  <c:v>0.8882078247855999</c:v>
                </c:pt>
                <c:pt idx="2">
                  <c:v>1.5310465065492</c:v>
                </c:pt>
              </c:numCache>
            </c:numRef>
          </c:val>
        </c:ser>
        <c:dLbls>
          <c:showVal val="1"/>
        </c:dLbls>
        <c:gapWidth val="95"/>
        <c:overlap val="100"/>
        <c:axId val="86268928"/>
        <c:axId val="86569728"/>
      </c:barChart>
      <c:catAx>
        <c:axId val="862689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6569728"/>
        <c:crosses val="autoZero"/>
        <c:auto val="1"/>
        <c:lblAlgn val="ctr"/>
        <c:lblOffset val="100"/>
      </c:catAx>
      <c:valAx>
        <c:axId val="86569728"/>
        <c:scaling>
          <c:orientation val="minMax"/>
        </c:scaling>
        <c:delete val="1"/>
        <c:axPos val="l"/>
        <c:numFmt formatCode="0.00" sourceLinked="1"/>
        <c:tickLblPos val="nextTo"/>
        <c:crossAx val="862689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993655624932707"/>
          <c:w val="0.9969147941302422"/>
          <c:h val="8.4261118263964693E-2"/>
        </c:manualLayout>
      </c:layout>
      <c:txPr>
        <a:bodyPr/>
        <a:lstStyle/>
        <a:p>
          <a:pPr>
            <a:defRPr sz="800" b="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hy-AM" sz="900" b="1" i="0" baseline="0">
                <a:latin typeface="GHEA Grapalat" pitchFamily="50" charset="0"/>
              </a:rPr>
              <a:t>Պետական բյուջեի պակասուրդի ֆինանսավորումը փոխառու զուտ միջոցների հաշվին, մլրդ դրամ</a:t>
            </a:r>
            <a:endParaRPr lang="en-US" sz="900">
              <a:latin typeface="GHEA Grapalat" pitchFamily="50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900" b="1" i="0" u="none" strike="noStrike" kern="1200" baseline="0">
                <a:solidFill>
                  <a:sysClr val="windowText" lastClr="000000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hy-AM" sz="900">
                <a:latin typeface="GHEA Grapalat" pitchFamily="50" charset="0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2.9512290907953986E-2"/>
          <c:y val="0.22256752740821295"/>
          <c:w val="0.94097541818409325"/>
          <c:h val="0.56894861225389404"/>
        </c:manualLayout>
      </c:layout>
      <c:barChart>
        <c:barDir val="col"/>
        <c:grouping val="clustered"/>
        <c:ser>
          <c:idx val="0"/>
          <c:order val="0"/>
          <c:tx>
            <c:strRef>
              <c:f>Sheet1!$B$96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Sheet1!$C$95:$E$95</c:f>
              <c:strCache>
                <c:ptCount val="3"/>
                <c:pt idx="0">
                  <c:v>01.01.2016-31.01.2016</c:v>
                </c:pt>
                <c:pt idx="1">
                  <c:v>01.01.2017-31.01.2017</c:v>
                </c:pt>
                <c:pt idx="2">
                  <c:v>01.01.2018-31.01.2018</c:v>
                </c:pt>
              </c:strCache>
            </c:strRef>
          </c:cat>
          <c:val>
            <c:numRef>
              <c:f>Sheet1!$C$96:$E$96</c:f>
              <c:numCache>
                <c:formatCode>0.00</c:formatCode>
                <c:ptCount val="3"/>
                <c:pt idx="0">
                  <c:v>9.5854876395886244</c:v>
                </c:pt>
                <c:pt idx="1">
                  <c:v>1.0408814563902</c:v>
                </c:pt>
                <c:pt idx="2">
                  <c:v>20.639954066580035</c:v>
                </c:pt>
              </c:numCache>
            </c:numRef>
          </c:val>
        </c:ser>
        <c:dLbls>
          <c:showVal val="1"/>
        </c:dLbls>
        <c:overlap val="-25"/>
        <c:axId val="87953408"/>
        <c:axId val="88080384"/>
      </c:barChart>
      <c:catAx>
        <c:axId val="879534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88080384"/>
        <c:crosses val="autoZero"/>
        <c:auto val="1"/>
        <c:lblAlgn val="ctr"/>
        <c:lblOffset val="100"/>
      </c:catAx>
      <c:valAx>
        <c:axId val="88080384"/>
        <c:scaling>
          <c:orientation val="minMax"/>
        </c:scaling>
        <c:delete val="1"/>
        <c:axPos val="l"/>
        <c:numFmt formatCode="0.00" sourceLinked="1"/>
        <c:tickLblPos val="nextTo"/>
        <c:crossAx val="87953408"/>
        <c:crosses val="autoZero"/>
        <c:crossBetween val="between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0.68615</cdr:x>
      <cdr:y>0.40278</cdr:y>
    </cdr:from>
    <cdr:to>
      <cdr:x>0.96615</cdr:x>
      <cdr:y>0.8642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019425" y="1104900"/>
          <a:ext cx="1232148" cy="1265770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0.67013</cdr:x>
      <cdr:y>0.17361</cdr:y>
    </cdr:from>
    <cdr:to>
      <cdr:x>0.97429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482969" y="476250"/>
          <a:ext cx="1127006" cy="647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0.82917</cdr:x>
      <cdr:y>0.20486</cdr:y>
    </cdr:from>
    <cdr:to>
      <cdr:x>0.99583</cdr:x>
      <cdr:y>0.71875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790950" y="561975"/>
          <a:ext cx="762000" cy="1409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0.69508</cdr:x>
      <cdr:y>0.62821</cdr:y>
    </cdr:from>
    <cdr:to>
      <cdr:x>0.97216</cdr:x>
      <cdr:y>0.81571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368068" y="1773246"/>
          <a:ext cx="1342620" cy="529258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User</cp:lastModifiedBy>
  <cp:revision>10</cp:revision>
  <cp:lastPrinted>2017-03-20T07:56:00Z</cp:lastPrinted>
  <dcterms:created xsi:type="dcterms:W3CDTF">2017-11-16T06:45:00Z</dcterms:created>
  <dcterms:modified xsi:type="dcterms:W3CDTF">2018-02-22T06:54:00Z</dcterms:modified>
</cp:coreProperties>
</file>