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7A1637">
        <w:rPr>
          <w:rFonts w:ascii="GHEA Grapalat" w:hAnsi="GHEA Grapalat" w:cs="Sylfaen"/>
          <w:sz w:val="24"/>
          <w:szCs w:val="24"/>
        </w:rPr>
        <w:t>4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7C52CA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E53F5B">
        <w:rPr>
          <w:rFonts w:ascii="GHEA Grapalat" w:hAnsi="GHEA Grapalat" w:cs="Sylfaen"/>
          <w:sz w:val="24"/>
          <w:szCs w:val="24"/>
        </w:rPr>
        <w:t>դեկտեմբեր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BF7D1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BF7D1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1696" cy="2743200"/>
            <wp:effectExtent l="19050" t="0" r="26504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F7D1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05019" cy="2743200"/>
            <wp:effectExtent l="19050" t="0" r="19381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BF7D1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BF7D1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2331" cy="2743200"/>
            <wp:effectExtent l="19050" t="0" r="25869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71849" w:rsidRPr="00B7184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08829" cy="2743200"/>
            <wp:effectExtent l="19050" t="0" r="15571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CF7" w:rsidRDefault="00B71849" w:rsidP="00B41CF7">
      <w:pPr>
        <w:ind w:left="-360"/>
        <w:rPr>
          <w:rFonts w:ascii="GHEA Grapalat" w:hAnsi="GHEA Grapalat"/>
          <w:sz w:val="24"/>
          <w:szCs w:val="24"/>
        </w:rPr>
      </w:pPr>
      <w:r w:rsidRPr="00B71849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31716" cy="2003728"/>
            <wp:effectExtent l="19050" t="0" r="11734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7184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14432" cy="2003728"/>
            <wp:effectExtent l="19050" t="0" r="24268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B71849" w:rsidP="00B41CF7">
      <w:pPr>
        <w:ind w:left="-360"/>
        <w:rPr>
          <w:rFonts w:ascii="GHEA Grapalat" w:hAnsi="GHEA Grapalat"/>
          <w:sz w:val="24"/>
          <w:szCs w:val="24"/>
        </w:rPr>
      </w:pPr>
      <w:r w:rsidRPr="00B7184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351" cy="2194560"/>
            <wp:effectExtent l="19050" t="0" r="11099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7184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14432" cy="2194560"/>
            <wp:effectExtent l="19050" t="0" r="24268" b="0"/>
            <wp:docPr id="2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B71849" w:rsidP="003A764E">
      <w:pPr>
        <w:ind w:left="-360"/>
        <w:rPr>
          <w:rFonts w:ascii="GHEA Grapalat" w:hAnsi="GHEA Grapalat"/>
          <w:sz w:val="24"/>
          <w:szCs w:val="24"/>
        </w:rPr>
      </w:pPr>
      <w:r w:rsidRPr="00B7184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351" cy="1978605"/>
            <wp:effectExtent l="19050" t="0" r="11099" b="2595"/>
            <wp:docPr id="2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B7184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11257" cy="1978605"/>
            <wp:effectExtent l="19050" t="0" r="27443" b="2595"/>
            <wp:docPr id="2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B71849" w:rsidP="000359FA">
      <w:pPr>
        <w:ind w:left="-360"/>
        <w:rPr>
          <w:rFonts w:ascii="GHEA Grapalat" w:hAnsi="GHEA Grapalat"/>
          <w:sz w:val="24"/>
          <w:szCs w:val="24"/>
        </w:rPr>
      </w:pPr>
      <w:r w:rsidRPr="00B71849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867523" cy="3291205"/>
            <wp:effectExtent l="19050" t="0" r="28327" b="4445"/>
            <wp:docPr id="2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B7184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13081" cy="3288030"/>
            <wp:effectExtent l="19050" t="0" r="16069" b="7620"/>
            <wp:docPr id="2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B71849" w:rsidP="000359FA">
      <w:pPr>
        <w:ind w:left="-360"/>
        <w:rPr>
          <w:rFonts w:ascii="GHEA Grapalat" w:hAnsi="GHEA Grapalat"/>
          <w:sz w:val="24"/>
          <w:szCs w:val="24"/>
        </w:rPr>
      </w:pPr>
      <w:r w:rsidRPr="00B7184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66916" cy="3042809"/>
            <wp:effectExtent l="19050" t="0" r="9884" b="5191"/>
            <wp:docPr id="28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B7184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40442" cy="3042809"/>
            <wp:effectExtent l="19050" t="0" r="26808" b="5191"/>
            <wp:docPr id="29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78D1" w:rsidRPr="002F2A59" w:rsidRDefault="000278D1" w:rsidP="000278D1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7E7077" w:rsidRPr="007E7077" w:rsidRDefault="000278D1" w:rsidP="004A3BA1">
      <w:pPr>
        <w:ind w:left="-360" w:firstLine="360"/>
        <w:jc w:val="center"/>
        <w:rPr>
          <w:rFonts w:ascii="GHEA Grapalat" w:hAnsi="GHEA Grapalat"/>
          <w:sz w:val="2"/>
          <w:szCs w:val="2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2017 -2019ԹԹ. ՌԱԶՄԱՎԱՐԱԿԱՆ ԾՐԱԳՐԻ</w:t>
      </w:r>
      <w:bookmarkEnd w:id="0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543153" w:rsidP="00EC6568">
      <w:pPr>
        <w:ind w:left="-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B71849" w:rsidRPr="00B71849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547262" cy="2918129"/>
            <wp:effectExtent l="19050" t="0" r="24738" b="0"/>
            <wp:docPr id="30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3C5A62">
        <w:rPr>
          <w:rFonts w:ascii="GHEA Grapalat" w:hAnsi="GHEA Grapalat"/>
          <w:b/>
          <w:sz w:val="16"/>
          <w:szCs w:val="16"/>
        </w:rPr>
        <w:t xml:space="preserve"> </w:t>
      </w:r>
      <w:r w:rsidR="00B71849" w:rsidRPr="00B71849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813134" cy="2918129"/>
            <wp:effectExtent l="19050" t="0" r="25566" b="0"/>
            <wp:docPr id="3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A3BA1">
        <w:rPr>
          <w:rFonts w:ascii="GHEA Grapalat" w:hAnsi="GHEA Grapalat"/>
          <w:b/>
          <w:sz w:val="16"/>
          <w:szCs w:val="16"/>
        </w:rPr>
        <w:t xml:space="preserve"> </w:t>
      </w:r>
      <w:r w:rsidR="00EC6568">
        <w:rPr>
          <w:rFonts w:ascii="GHEA Grapalat" w:hAnsi="GHEA Grapalat"/>
          <w:b/>
          <w:sz w:val="16"/>
          <w:szCs w:val="16"/>
        </w:rPr>
        <w:t xml:space="preserve"> </w:t>
      </w:r>
    </w:p>
    <w:p w:rsidR="001E1A21" w:rsidRDefault="00543153" w:rsidP="00EC6568">
      <w:pPr>
        <w:ind w:left="-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460ADB" w:rsidRPr="00460ADB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542790" cy="2816998"/>
            <wp:effectExtent l="19050" t="0" r="10160" b="2402"/>
            <wp:docPr id="3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460ADB" w:rsidRPr="00460ADB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869456" cy="2822713"/>
            <wp:effectExtent l="19050" t="0" r="26394" b="0"/>
            <wp:docPr id="3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</w:t>
      </w:r>
    </w:p>
    <w:sectPr w:rsidR="001E1A21" w:rsidSect="004A3BA1">
      <w:pgSz w:w="15840" w:h="12240" w:orient="landscape"/>
      <w:pgMar w:top="810" w:right="27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2E" w:rsidRDefault="00726F2E" w:rsidP="00AC2D9E">
      <w:pPr>
        <w:spacing w:after="0" w:line="240" w:lineRule="auto"/>
      </w:pPr>
      <w:r>
        <w:separator/>
      </w:r>
    </w:p>
  </w:endnote>
  <w:endnote w:type="continuationSeparator" w:id="1">
    <w:p w:rsidR="00726F2E" w:rsidRDefault="00726F2E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2E" w:rsidRDefault="00726F2E" w:rsidP="00AC2D9E">
      <w:pPr>
        <w:spacing w:after="0" w:line="240" w:lineRule="auto"/>
      </w:pPr>
      <w:r>
        <w:separator/>
      </w:r>
    </w:p>
  </w:footnote>
  <w:footnote w:type="continuationSeparator" w:id="1">
    <w:p w:rsidR="00726F2E" w:rsidRDefault="00726F2E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20728"/>
    <w:rsid w:val="00020F73"/>
    <w:rsid w:val="000278D1"/>
    <w:rsid w:val="000359FA"/>
    <w:rsid w:val="00051169"/>
    <w:rsid w:val="00056F88"/>
    <w:rsid w:val="0006240F"/>
    <w:rsid w:val="000675D6"/>
    <w:rsid w:val="00071D1B"/>
    <w:rsid w:val="00074039"/>
    <w:rsid w:val="00077EDB"/>
    <w:rsid w:val="00082A3C"/>
    <w:rsid w:val="0008485C"/>
    <w:rsid w:val="00090678"/>
    <w:rsid w:val="000B0744"/>
    <w:rsid w:val="000B78A5"/>
    <w:rsid w:val="000C06C9"/>
    <w:rsid w:val="000C120D"/>
    <w:rsid w:val="000C1A28"/>
    <w:rsid w:val="000E596E"/>
    <w:rsid w:val="00107438"/>
    <w:rsid w:val="00123208"/>
    <w:rsid w:val="00136864"/>
    <w:rsid w:val="001708FC"/>
    <w:rsid w:val="00187C15"/>
    <w:rsid w:val="001963B2"/>
    <w:rsid w:val="0019787B"/>
    <w:rsid w:val="001B01D5"/>
    <w:rsid w:val="001C214B"/>
    <w:rsid w:val="001C2936"/>
    <w:rsid w:val="001E1A21"/>
    <w:rsid w:val="001E20E6"/>
    <w:rsid w:val="00202DDC"/>
    <w:rsid w:val="00213743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A07FA"/>
    <w:rsid w:val="002A0970"/>
    <w:rsid w:val="002A3D43"/>
    <w:rsid w:val="002D0C0B"/>
    <w:rsid w:val="002D0C8F"/>
    <w:rsid w:val="002E1BC5"/>
    <w:rsid w:val="002E1C74"/>
    <w:rsid w:val="002E2575"/>
    <w:rsid w:val="002F2A59"/>
    <w:rsid w:val="002F56E9"/>
    <w:rsid w:val="0030485A"/>
    <w:rsid w:val="00304E24"/>
    <w:rsid w:val="003139F5"/>
    <w:rsid w:val="00314083"/>
    <w:rsid w:val="00316E05"/>
    <w:rsid w:val="003428D7"/>
    <w:rsid w:val="00345B70"/>
    <w:rsid w:val="00356A9D"/>
    <w:rsid w:val="003670A8"/>
    <w:rsid w:val="0038186E"/>
    <w:rsid w:val="003910B9"/>
    <w:rsid w:val="00392748"/>
    <w:rsid w:val="00395631"/>
    <w:rsid w:val="003965AE"/>
    <w:rsid w:val="00397FE1"/>
    <w:rsid w:val="003A764E"/>
    <w:rsid w:val="003B1B4F"/>
    <w:rsid w:val="003B212F"/>
    <w:rsid w:val="003C1D54"/>
    <w:rsid w:val="003C2F9B"/>
    <w:rsid w:val="003C5A62"/>
    <w:rsid w:val="003D3812"/>
    <w:rsid w:val="003D4E57"/>
    <w:rsid w:val="003D5370"/>
    <w:rsid w:val="003F22F7"/>
    <w:rsid w:val="003F564E"/>
    <w:rsid w:val="003F7610"/>
    <w:rsid w:val="0040580C"/>
    <w:rsid w:val="00410EDE"/>
    <w:rsid w:val="00421A4E"/>
    <w:rsid w:val="00426B06"/>
    <w:rsid w:val="00427116"/>
    <w:rsid w:val="004335CB"/>
    <w:rsid w:val="00434F7E"/>
    <w:rsid w:val="00440FAF"/>
    <w:rsid w:val="00447E6B"/>
    <w:rsid w:val="00455B1D"/>
    <w:rsid w:val="00460ADB"/>
    <w:rsid w:val="00461DE6"/>
    <w:rsid w:val="00462748"/>
    <w:rsid w:val="00472BF5"/>
    <w:rsid w:val="00474688"/>
    <w:rsid w:val="0048515E"/>
    <w:rsid w:val="00495AFC"/>
    <w:rsid w:val="004A3BA1"/>
    <w:rsid w:val="004B1BFA"/>
    <w:rsid w:val="004B3A6B"/>
    <w:rsid w:val="004C0931"/>
    <w:rsid w:val="004C147B"/>
    <w:rsid w:val="004E7F0D"/>
    <w:rsid w:val="004F17DA"/>
    <w:rsid w:val="00513FFD"/>
    <w:rsid w:val="0052482E"/>
    <w:rsid w:val="005403D8"/>
    <w:rsid w:val="00543153"/>
    <w:rsid w:val="00546C4B"/>
    <w:rsid w:val="005646F8"/>
    <w:rsid w:val="0056730A"/>
    <w:rsid w:val="005748EC"/>
    <w:rsid w:val="00593DFD"/>
    <w:rsid w:val="005A4CB8"/>
    <w:rsid w:val="005A6095"/>
    <w:rsid w:val="005B1A4E"/>
    <w:rsid w:val="005C63AF"/>
    <w:rsid w:val="005E45FD"/>
    <w:rsid w:val="005E72C4"/>
    <w:rsid w:val="00600125"/>
    <w:rsid w:val="00605A49"/>
    <w:rsid w:val="006204FF"/>
    <w:rsid w:val="00621716"/>
    <w:rsid w:val="00642339"/>
    <w:rsid w:val="00662084"/>
    <w:rsid w:val="006700B1"/>
    <w:rsid w:val="00672C70"/>
    <w:rsid w:val="00675A12"/>
    <w:rsid w:val="0068775B"/>
    <w:rsid w:val="00697E19"/>
    <w:rsid w:val="006A61EA"/>
    <w:rsid w:val="006B14A0"/>
    <w:rsid w:val="006F124B"/>
    <w:rsid w:val="006F322F"/>
    <w:rsid w:val="006F3AB0"/>
    <w:rsid w:val="00726F2E"/>
    <w:rsid w:val="00746DA0"/>
    <w:rsid w:val="00753EBA"/>
    <w:rsid w:val="00793EEC"/>
    <w:rsid w:val="00795E20"/>
    <w:rsid w:val="007A1637"/>
    <w:rsid w:val="007A7000"/>
    <w:rsid w:val="007B0C3C"/>
    <w:rsid w:val="007B5262"/>
    <w:rsid w:val="007C52CA"/>
    <w:rsid w:val="007D095A"/>
    <w:rsid w:val="007D6D40"/>
    <w:rsid w:val="007E288D"/>
    <w:rsid w:val="007E457E"/>
    <w:rsid w:val="007E7077"/>
    <w:rsid w:val="00807683"/>
    <w:rsid w:val="0081180D"/>
    <w:rsid w:val="00811EF3"/>
    <w:rsid w:val="0082555E"/>
    <w:rsid w:val="00831BD9"/>
    <w:rsid w:val="00841547"/>
    <w:rsid w:val="008456FD"/>
    <w:rsid w:val="008505ED"/>
    <w:rsid w:val="00867138"/>
    <w:rsid w:val="00875E4C"/>
    <w:rsid w:val="008814D2"/>
    <w:rsid w:val="008873A9"/>
    <w:rsid w:val="00896F85"/>
    <w:rsid w:val="008A0310"/>
    <w:rsid w:val="008A5AC2"/>
    <w:rsid w:val="008C2FD5"/>
    <w:rsid w:val="008C5278"/>
    <w:rsid w:val="008D75B0"/>
    <w:rsid w:val="008D7BF1"/>
    <w:rsid w:val="008F18E7"/>
    <w:rsid w:val="008F5FCD"/>
    <w:rsid w:val="00905766"/>
    <w:rsid w:val="009063C3"/>
    <w:rsid w:val="00922CEA"/>
    <w:rsid w:val="00923985"/>
    <w:rsid w:val="00932266"/>
    <w:rsid w:val="00933D79"/>
    <w:rsid w:val="009341DC"/>
    <w:rsid w:val="00934D90"/>
    <w:rsid w:val="00936BB3"/>
    <w:rsid w:val="00941169"/>
    <w:rsid w:val="00943996"/>
    <w:rsid w:val="009B57D4"/>
    <w:rsid w:val="009C77A7"/>
    <w:rsid w:val="00A124D7"/>
    <w:rsid w:val="00A15EBC"/>
    <w:rsid w:val="00A23569"/>
    <w:rsid w:val="00A266B6"/>
    <w:rsid w:val="00A36CD4"/>
    <w:rsid w:val="00A5217B"/>
    <w:rsid w:val="00A52C30"/>
    <w:rsid w:val="00A53481"/>
    <w:rsid w:val="00A71643"/>
    <w:rsid w:val="00A80F60"/>
    <w:rsid w:val="00A868C8"/>
    <w:rsid w:val="00A95527"/>
    <w:rsid w:val="00AA353B"/>
    <w:rsid w:val="00AB08C3"/>
    <w:rsid w:val="00AC2D9E"/>
    <w:rsid w:val="00AD16F7"/>
    <w:rsid w:val="00AD2974"/>
    <w:rsid w:val="00AE182C"/>
    <w:rsid w:val="00B00B2A"/>
    <w:rsid w:val="00B0479E"/>
    <w:rsid w:val="00B06216"/>
    <w:rsid w:val="00B279AB"/>
    <w:rsid w:val="00B3731F"/>
    <w:rsid w:val="00B41CF7"/>
    <w:rsid w:val="00B55DF2"/>
    <w:rsid w:val="00B65BE2"/>
    <w:rsid w:val="00B71849"/>
    <w:rsid w:val="00B77C2D"/>
    <w:rsid w:val="00B9168A"/>
    <w:rsid w:val="00BB18EB"/>
    <w:rsid w:val="00BC3A20"/>
    <w:rsid w:val="00BC74FB"/>
    <w:rsid w:val="00BD5001"/>
    <w:rsid w:val="00BD6CE1"/>
    <w:rsid w:val="00BF08B3"/>
    <w:rsid w:val="00BF7D18"/>
    <w:rsid w:val="00C017E6"/>
    <w:rsid w:val="00C03503"/>
    <w:rsid w:val="00C133F0"/>
    <w:rsid w:val="00C4717D"/>
    <w:rsid w:val="00C53C1D"/>
    <w:rsid w:val="00C931D2"/>
    <w:rsid w:val="00CA2359"/>
    <w:rsid w:val="00CA5AE7"/>
    <w:rsid w:val="00CB2A9B"/>
    <w:rsid w:val="00CF0FEB"/>
    <w:rsid w:val="00D20D4C"/>
    <w:rsid w:val="00D47547"/>
    <w:rsid w:val="00D50656"/>
    <w:rsid w:val="00D52BB4"/>
    <w:rsid w:val="00D6663E"/>
    <w:rsid w:val="00D86D80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70E3"/>
    <w:rsid w:val="00E123FE"/>
    <w:rsid w:val="00E179BB"/>
    <w:rsid w:val="00E2636E"/>
    <w:rsid w:val="00E305FB"/>
    <w:rsid w:val="00E311F1"/>
    <w:rsid w:val="00E53F5B"/>
    <w:rsid w:val="00E54FD7"/>
    <w:rsid w:val="00E55DE4"/>
    <w:rsid w:val="00E572E5"/>
    <w:rsid w:val="00E611FC"/>
    <w:rsid w:val="00E66C3C"/>
    <w:rsid w:val="00E7138C"/>
    <w:rsid w:val="00E7141B"/>
    <w:rsid w:val="00EA3EF3"/>
    <w:rsid w:val="00EB3E83"/>
    <w:rsid w:val="00EB4522"/>
    <w:rsid w:val="00EB69F5"/>
    <w:rsid w:val="00EC11CC"/>
    <w:rsid w:val="00EC6568"/>
    <w:rsid w:val="00ED1A35"/>
    <w:rsid w:val="00EF4C8F"/>
    <w:rsid w:val="00F13A2F"/>
    <w:rsid w:val="00F178DE"/>
    <w:rsid w:val="00F22FDD"/>
    <w:rsid w:val="00F26FD3"/>
    <w:rsid w:val="00F40D2C"/>
    <w:rsid w:val="00F46971"/>
    <w:rsid w:val="00F55AB5"/>
    <w:rsid w:val="00F620C8"/>
    <w:rsid w:val="00F64F30"/>
    <w:rsid w:val="00F65B3C"/>
    <w:rsid w:val="00F87A3E"/>
    <w:rsid w:val="00FB6552"/>
    <w:rsid w:val="00FD1C34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December2017\Bookoctober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2014-2017 թթ. /դեկտեմբեր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2122844081480051"/>
          <c:y val="0.25856481481481502"/>
          <c:w val="0.5654136490154259"/>
          <c:h val="0.6345064158646837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7933087766914955E-2"/>
                  <c:y val="-4.6296296296296349E-2"/>
                </c:manualLayout>
              </c:layout>
              <c:showVal val="1"/>
            </c:dLbl>
            <c:dLbl>
              <c:idx val="1"/>
              <c:layout>
                <c:manualLayout>
                  <c:x val="-9.3428905752347288E-2"/>
                  <c:y val="-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0.12365590467222422"/>
                  <c:y val="-4.6296296296296391E-2"/>
                </c:manualLayout>
              </c:layout>
              <c:showVal val="1"/>
            </c:dLbl>
            <c:dLbl>
              <c:idx val="3"/>
              <c:layout>
                <c:manualLayout>
                  <c:x val="-0.12640381366494033"/>
                  <c:y val="-1.388888888888890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31.12.2014</c:v>
                </c:pt>
                <c:pt idx="1">
                  <c:v>31.12.2015</c:v>
                </c:pt>
                <c:pt idx="2">
                  <c:v>31.12.2016</c:v>
                </c:pt>
                <c:pt idx="3">
                  <c:v>31.12.2017</c:v>
                </c:pt>
              </c:strCache>
            </c:strRef>
          </c:cat>
          <c:val>
            <c:numRef>
              <c:f>Sheet1!$C$4:$F$4</c:f>
              <c:numCache>
                <c:formatCode>#,##0.0</c:formatCode>
                <c:ptCount val="4"/>
                <c:pt idx="0">
                  <c:v>2109.5908590287481</c:v>
                </c:pt>
                <c:pt idx="1">
                  <c:v>2456.3340317821512</c:v>
                </c:pt>
                <c:pt idx="2">
                  <c:v>2875.6173311406701</c:v>
                </c:pt>
                <c:pt idx="3">
                  <c:v>3279.5859263171801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4.1218634890741485E-2"/>
                  <c:y val="4.1666666666666685E-2"/>
                </c:manualLayout>
              </c:layout>
              <c:showVal val="1"/>
            </c:dLbl>
            <c:dLbl>
              <c:idx val="1"/>
              <c:layout>
                <c:manualLayout>
                  <c:x val="-8.2437269781482914E-3"/>
                  <c:y val="1.3888888888888905E-2"/>
                </c:manualLayout>
              </c:layout>
              <c:showVal val="1"/>
            </c:dLbl>
            <c:dLbl>
              <c:idx val="2"/>
              <c:layout>
                <c:manualLayout>
                  <c:x val="-2.4731180934444843E-2"/>
                  <c:y val="5.0925925925925937E-2"/>
                </c:manualLayout>
              </c:layout>
              <c:showVal val="1"/>
            </c:dLbl>
            <c:dLbl>
              <c:idx val="3"/>
              <c:layout>
                <c:manualLayout>
                  <c:x val="-4.671445287617363E-2"/>
                  <c:y val="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31.12.2014</c:v>
                </c:pt>
                <c:pt idx="1">
                  <c:v>31.12.2015</c:v>
                </c:pt>
                <c:pt idx="2">
                  <c:v>31.12.2016</c:v>
                </c:pt>
                <c:pt idx="3">
                  <c:v>31.12.2017</c:v>
                </c:pt>
              </c:strCache>
            </c:strRef>
          </c:cat>
          <c:val>
            <c:numRef>
              <c:f>Sheet1!$C$5:$F$5</c:f>
              <c:numCache>
                <c:formatCode>#,##0.0</c:formatCode>
                <c:ptCount val="4"/>
                <c:pt idx="0">
                  <c:v>1900.6261891046508</c:v>
                </c:pt>
                <c:pt idx="1">
                  <c:v>2225.9061818606497</c:v>
                </c:pt>
                <c:pt idx="2">
                  <c:v>2631.3899476206398</c:v>
                </c:pt>
                <c:pt idx="3" formatCode="#,##0.0;[Red]#,##0.0">
                  <c:v>2988.3796274422402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4193542803334595E-2"/>
                  <c:y val="-2.7777777777777825E-2"/>
                </c:manualLayout>
              </c:layout>
              <c:showVal val="1"/>
            </c:dLbl>
            <c:dLbl>
              <c:idx val="1"/>
              <c:layout>
                <c:manualLayout>
                  <c:x val="-8.2437269781482914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9.0680996759631177E-2"/>
                  <c:y val="-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5.4958179854321949E-2"/>
                  <c:y val="-5.55555555555555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31.12.2014</c:v>
                </c:pt>
                <c:pt idx="1">
                  <c:v>31.12.2015</c:v>
                </c:pt>
                <c:pt idx="2">
                  <c:v>31.12.2016</c:v>
                </c:pt>
                <c:pt idx="3">
                  <c:v>31.12.2017</c:v>
                </c:pt>
              </c:strCache>
            </c:strRef>
          </c:cat>
          <c:val>
            <c:numRef>
              <c:f>Sheet1!$C$6:$F$6</c:f>
              <c:numCache>
                <c:formatCode>0.0</c:formatCode>
                <c:ptCount val="4"/>
                <c:pt idx="0">
                  <c:v>208.9646699240989</c:v>
                </c:pt>
                <c:pt idx="1">
                  <c:v>230.42784992150601</c:v>
                </c:pt>
                <c:pt idx="2">
                  <c:v>244.22738352002699</c:v>
                </c:pt>
                <c:pt idx="3" formatCode="0.0;[Red]0.0">
                  <c:v>291.206298874943</c:v>
                </c:pt>
              </c:numCache>
            </c:numRef>
          </c:val>
        </c:ser>
        <c:dLbls>
          <c:showVal val="1"/>
        </c:dLbls>
        <c:marker val="1"/>
        <c:axId val="55449472"/>
        <c:axId val="55451008"/>
      </c:lineChart>
      <c:catAx>
        <c:axId val="55449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451008"/>
        <c:crosses val="autoZero"/>
        <c:auto val="1"/>
        <c:lblAlgn val="ctr"/>
        <c:lblOffset val="100"/>
      </c:catAx>
      <c:valAx>
        <c:axId val="5545100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44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114627184479493"/>
          <c:y val="0.26362131816856227"/>
          <c:w val="0.30236627419890916"/>
          <c:h val="0.615581073199184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Պետական բյուջեի պակասուրդի ֆինանսավորումը ներքին և արտաքին փոխառու զուտ միջոցների հաշվին, մլրդ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"/>
          <c:y val="0.30506392129808652"/>
          <c:w val="1"/>
          <c:h val="0.48645232373313535"/>
        </c:manualLayout>
      </c:layout>
      <c:barChart>
        <c:barDir val="col"/>
        <c:grouping val="stacked"/>
        <c:ser>
          <c:idx val="0"/>
          <c:order val="0"/>
          <c:tx>
            <c:strRef>
              <c:f>Sheet1!$B$116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Sheet1!$C$115:$E$115</c:f>
              <c:strCache>
                <c:ptCount val="3"/>
                <c:pt idx="0">
                  <c:v>01.01.2015-31.12.2015</c:v>
                </c:pt>
                <c:pt idx="1">
                  <c:v>01.01.2016-31.12.2016</c:v>
                </c:pt>
                <c:pt idx="2">
                  <c:v>01.01.2017-31.12.2017</c:v>
                </c:pt>
              </c:strCache>
            </c:strRef>
          </c:cat>
          <c:val>
            <c:numRef>
              <c:f>Sheet1!$C$116:$E$116</c:f>
              <c:numCache>
                <c:formatCode>0.00</c:formatCode>
                <c:ptCount val="3"/>
                <c:pt idx="0">
                  <c:v>13.920809979800005</c:v>
                </c:pt>
                <c:pt idx="1">
                  <c:v>171.0061828469</c:v>
                </c:pt>
                <c:pt idx="2">
                  <c:v>45.722761242000026</c:v>
                </c:pt>
              </c:numCache>
            </c:numRef>
          </c:val>
        </c:ser>
        <c:ser>
          <c:idx val="1"/>
          <c:order val="1"/>
          <c:tx>
            <c:strRef>
              <c:f>Sheet1!$B$117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Sheet1!$C$115:$E$115</c:f>
              <c:strCache>
                <c:ptCount val="3"/>
                <c:pt idx="0">
                  <c:v>01.01.2015-31.12.2015</c:v>
                </c:pt>
                <c:pt idx="1">
                  <c:v>01.01.2016-31.12.2016</c:v>
                </c:pt>
                <c:pt idx="2">
                  <c:v>01.01.2017-31.12.2017</c:v>
                </c:pt>
              </c:strCache>
            </c:strRef>
          </c:cat>
          <c:val>
            <c:numRef>
              <c:f>Sheet1!$C$117:$E$117</c:f>
              <c:numCache>
                <c:formatCode>0.00</c:formatCode>
                <c:ptCount val="3"/>
                <c:pt idx="0">
                  <c:v>302.89456184574016</c:v>
                </c:pt>
                <c:pt idx="1">
                  <c:v>238.39872598855308</c:v>
                </c:pt>
                <c:pt idx="2">
                  <c:v>233.0063142741929</c:v>
                </c:pt>
              </c:numCache>
            </c:numRef>
          </c:val>
        </c:ser>
        <c:dLbls>
          <c:showVal val="1"/>
        </c:dLbls>
        <c:gapWidth val="95"/>
        <c:overlap val="100"/>
        <c:axId val="57818496"/>
        <c:axId val="57828480"/>
      </c:barChart>
      <c:catAx>
        <c:axId val="578184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57828480"/>
        <c:crosses val="autoZero"/>
        <c:auto val="1"/>
        <c:lblAlgn val="ctr"/>
        <c:lblOffset val="100"/>
      </c:catAx>
      <c:valAx>
        <c:axId val="57828480"/>
        <c:scaling>
          <c:orientation val="minMax"/>
        </c:scaling>
        <c:delete val="1"/>
        <c:axPos val="l"/>
        <c:numFmt formatCode="0.00" sourceLinked="1"/>
        <c:tickLblPos val="nextTo"/>
        <c:crossAx val="57818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1157198628133978E-2"/>
          <c:y val="0.22401136154007503"/>
          <c:w val="0.88032503771883353"/>
          <c:h val="7.4633896103567923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կողմից արտաքին վարկերի ստացումը և սպասարկումը, մլն ԱՄՆ դոլար</a:t>
            </a:r>
          </a:p>
        </c:rich>
      </c:tx>
    </c:title>
    <c:plotArea>
      <c:layout>
        <c:manualLayout>
          <c:layoutTarget val="inner"/>
          <c:xMode val="edge"/>
          <c:yMode val="edge"/>
          <c:x val="1.0530773802502801E-2"/>
          <c:y val="0.22560430945233143"/>
          <c:w val="0.97893845239499511"/>
          <c:h val="0.66963900627399586"/>
        </c:manualLayout>
      </c:layout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01.012015-31.12.2015</c:v>
                </c:pt>
                <c:pt idx="1">
                  <c:v>01.01.2016 - 31.12.2016</c:v>
                </c:pt>
                <c:pt idx="2">
                  <c:v>01.01.2017 - 31.12.2017</c:v>
                </c:pt>
              </c:strCache>
            </c:strRef>
          </c:cat>
          <c:val>
            <c:numRef>
              <c:f>Sheet1!$C$105:$E$105</c:f>
              <c:numCache>
                <c:formatCode>0.0</c:formatCode>
                <c:ptCount val="3"/>
                <c:pt idx="0">
                  <c:v>45.263476130275322</c:v>
                </c:pt>
                <c:pt idx="1">
                  <c:v>53.0266227059005</c:v>
                </c:pt>
                <c:pt idx="2">
                  <c:v>68.699483040000004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01.012015-31.12.2015</c:v>
                </c:pt>
                <c:pt idx="1">
                  <c:v>01.01.2016 - 31.12.2016</c:v>
                </c:pt>
                <c:pt idx="2">
                  <c:v>01.01.2017 - 31.12.2017</c:v>
                </c:pt>
              </c:strCache>
            </c:strRef>
          </c:cat>
          <c:val>
            <c:numRef>
              <c:f>Sheet1!$C$106:$E$106</c:f>
              <c:numCache>
                <c:formatCode>#,##0.0;[Red]#,##0.0</c:formatCode>
                <c:ptCount val="3"/>
                <c:pt idx="0" formatCode="0.0">
                  <c:v>56.944139702856397</c:v>
                </c:pt>
                <c:pt idx="1">
                  <c:v>71.06157233759204</c:v>
                </c:pt>
                <c:pt idx="2" formatCode="0.0">
                  <c:v>100.48931811352591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01.012015-31.12.2015</c:v>
                </c:pt>
                <c:pt idx="1">
                  <c:v>01.01.2016 - 31.12.2016</c:v>
                </c:pt>
                <c:pt idx="2">
                  <c:v>01.01.2017 - 31.12.2017</c:v>
                </c:pt>
              </c:strCache>
            </c:strRef>
          </c:cat>
          <c:val>
            <c:numRef>
              <c:f>Sheet1!$C$107:$E$107</c:f>
              <c:numCache>
                <c:formatCode>0.0</c:formatCode>
                <c:ptCount val="3"/>
                <c:pt idx="0">
                  <c:v>409.89498805900001</c:v>
                </c:pt>
                <c:pt idx="1">
                  <c:v>570.89614221199997</c:v>
                </c:pt>
                <c:pt idx="2">
                  <c:v>584.55596904799961</c:v>
                </c:pt>
              </c:numCache>
            </c:numRef>
          </c:val>
        </c:ser>
        <c:dLbls>
          <c:showVal val="1"/>
        </c:dLbls>
        <c:overlap val="-25"/>
        <c:axId val="57871744"/>
        <c:axId val="57898112"/>
      </c:barChart>
      <c:catAx>
        <c:axId val="578717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7898112"/>
        <c:crosses val="autoZero"/>
        <c:auto val="1"/>
        <c:lblAlgn val="ctr"/>
        <c:lblOffset val="100"/>
      </c:catAx>
      <c:valAx>
        <c:axId val="57898112"/>
        <c:scaling>
          <c:orientation val="minMax"/>
        </c:scaling>
        <c:delete val="1"/>
        <c:axPos val="l"/>
        <c:numFmt formatCode="0.0" sourceLinked="1"/>
        <c:tickLblPos val="nextTo"/>
        <c:crossAx val="57871744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կողմից արտաքին վարկերի ստացումը և սպասարկումը, մլն ԱՄՆ դոլար</a:t>
            </a:r>
          </a:p>
        </c:rich>
      </c:tx>
    </c:title>
    <c:plotArea>
      <c:layout>
        <c:manualLayout>
          <c:layoutTarget val="inner"/>
          <c:xMode val="edge"/>
          <c:yMode val="edge"/>
          <c:x val="1.1012163020766382E-2"/>
          <c:y val="0.263508240496589"/>
          <c:w val="0.98072871471365886"/>
          <c:h val="0.622702651739796"/>
        </c:manualLayout>
      </c:layout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89.2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 01.012015-31.12.2015</c:v>
                </c:pt>
                <c:pt idx="1">
                  <c:v>01.01.2016 - 31.12.2016</c:v>
                </c:pt>
                <c:pt idx="2">
                  <c:v>01.01.2017 - 31.12.2017</c:v>
                </c:pt>
              </c:strCache>
            </c:strRef>
          </c:cat>
          <c:val>
            <c:numRef>
              <c:f>Sheet1!$C$126:$E$126</c:f>
              <c:numCache>
                <c:formatCode>0.0</c:formatCode>
                <c:ptCount val="3"/>
                <c:pt idx="0">
                  <c:v>102.2076158331317</c:v>
                </c:pt>
                <c:pt idx="1">
                  <c:v>124.08819504349258</c:v>
                </c:pt>
                <c:pt idx="2">
                  <c:v>169.18880115352601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 01.012015-31.12.2015</c:v>
                </c:pt>
                <c:pt idx="1">
                  <c:v>01.01.2016 - 31.12.2016</c:v>
                </c:pt>
                <c:pt idx="2">
                  <c:v>01.01.2017 - 31.12.2017</c:v>
                </c:pt>
              </c:strCache>
            </c:strRef>
          </c:cat>
          <c:val>
            <c:numRef>
              <c:f>Sheet1!$C$127:$E$127</c:f>
              <c:numCache>
                <c:formatCode>0.0</c:formatCode>
                <c:ptCount val="3"/>
                <c:pt idx="0">
                  <c:v>409.89498805900001</c:v>
                </c:pt>
                <c:pt idx="1">
                  <c:v>570.89614221199997</c:v>
                </c:pt>
                <c:pt idx="2">
                  <c:v>584.55596904799961</c:v>
                </c:pt>
              </c:numCache>
            </c:numRef>
          </c:val>
        </c:ser>
        <c:dLbls>
          <c:showVal val="1"/>
        </c:dLbls>
        <c:overlap val="-25"/>
        <c:axId val="57956608"/>
        <c:axId val="57958400"/>
      </c:barChart>
      <c:catAx>
        <c:axId val="57956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7958400"/>
        <c:crosses val="autoZero"/>
        <c:auto val="1"/>
        <c:lblAlgn val="ctr"/>
        <c:lblOffset val="100"/>
      </c:catAx>
      <c:valAx>
        <c:axId val="57958400"/>
        <c:scaling>
          <c:orientation val="minMax"/>
        </c:scaling>
        <c:delete val="1"/>
        <c:axPos val="l"/>
        <c:numFmt formatCode="0.0" sourceLinked="1"/>
        <c:tickLblPos val="nextTo"/>
        <c:crossAx val="579566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834976233887952E-2"/>
          <c:y val="0.16052529934337581"/>
          <c:w val="0.93331766773659508"/>
          <c:h val="6.0495494262521987E-2"/>
        </c:manualLayout>
      </c:layout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Sheet1!$B$197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0"/>
              <c:layout>
                <c:manualLayout>
                  <c:x val="-9.915930334528078E-2"/>
                  <c:y val="-2.276350569490231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8.6382423695005164E-2"/>
                  <c:y val="-4.871781304708908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8797696184306339E-3"/>
                  <c:y val="-2.777777777777784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Sheet1!$C$195:$E$195</c:f>
              <c:strCache>
                <c:ptCount val="3"/>
                <c:pt idx="0">
                  <c:v>31.12.2015</c:v>
                </c:pt>
                <c:pt idx="1">
                  <c:v>31.11.2016</c:v>
                </c:pt>
                <c:pt idx="2">
                  <c:v>31.12.2017</c:v>
                </c:pt>
              </c:strCache>
            </c:strRef>
          </c:cat>
          <c:val>
            <c:numRef>
              <c:f>Sheet1!$C$196:$E$196</c:f>
              <c:numCache>
                <c:formatCode>#,##0.0_);\(#,##0.0\)</c:formatCode>
                <c:ptCount val="3"/>
                <c:pt idx="0">
                  <c:v>320.765781</c:v>
                </c:pt>
                <c:pt idx="1">
                  <c:v>508.3332689999998</c:v>
                </c:pt>
                <c:pt idx="2">
                  <c:v>549.73017000000004</c:v>
                </c:pt>
              </c:numCache>
            </c:numRef>
          </c:val>
        </c:ser>
        <c:dLbls>
          <c:showVal val="1"/>
        </c:dLbls>
        <c:marker val="1"/>
        <c:axId val="57982976"/>
        <c:axId val="57984512"/>
      </c:lineChart>
      <c:catAx>
        <c:axId val="579829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7984512"/>
        <c:crosses val="autoZero"/>
        <c:auto val="1"/>
        <c:lblAlgn val="ctr"/>
        <c:lblOffset val="100"/>
      </c:catAx>
      <c:valAx>
        <c:axId val="57984512"/>
        <c:scaling>
          <c:orientation val="minMax"/>
        </c:scaling>
        <c:axPos val="l"/>
        <c:majorGridlines/>
        <c:numFmt formatCode="#,##0.0_);\(#,##0.0\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798297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Sheet1!$B$216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0"/>
              <c:layout>
                <c:manualLayout>
                  <c:x val="-8.21042478281164E-2"/>
                  <c:y val="-3.53955834888092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5.0925337632080212E-17"/>
                  <c:y val="1.814058956916103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2.7777777777777861E-3"/>
                  <c:y val="4.5351473922902565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0"/>
                  <c:y val="0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Sheet1!$C$214:$E$214</c:f>
              <c:strCache>
                <c:ptCount val="3"/>
                <c:pt idx="0">
                  <c:v>31.12.2015</c:v>
                </c:pt>
                <c:pt idx="1">
                  <c:v>31.12.2016</c:v>
                </c:pt>
                <c:pt idx="2">
                  <c:v>31.12.2017</c:v>
                </c:pt>
              </c:strCache>
            </c:strRef>
          </c:cat>
          <c:val>
            <c:numRef>
              <c:f>Sheet1!$C$215:$E$215</c:f>
              <c:numCache>
                <c:formatCode>0</c:formatCode>
                <c:ptCount val="3"/>
                <c:pt idx="0">
                  <c:v>2064.8259221640601</c:v>
                </c:pt>
                <c:pt idx="1">
                  <c:v>2208.3267577672555</c:v>
                </c:pt>
                <c:pt idx="2">
                  <c:v>2787.4616453650397</c:v>
                </c:pt>
              </c:numCache>
            </c:numRef>
          </c:val>
        </c:ser>
        <c:dLbls>
          <c:showVal val="1"/>
        </c:dLbls>
        <c:marker val="1"/>
        <c:axId val="80475264"/>
        <c:axId val="80476800"/>
      </c:lineChart>
      <c:catAx>
        <c:axId val="804752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0476800"/>
        <c:crosses val="autoZero"/>
        <c:auto val="1"/>
        <c:lblAlgn val="ctr"/>
        <c:lblOffset val="100"/>
      </c:catAx>
      <c:valAx>
        <c:axId val="80476800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047526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պարտքի կառուցվածքն ըստ տոկոսադրույքի, %</a:t>
            </a:r>
          </a:p>
        </c:rich>
      </c:tx>
    </c:title>
    <c:plotArea>
      <c:layout>
        <c:manualLayout>
          <c:layoutTarget val="inner"/>
          <c:xMode val="edge"/>
          <c:yMode val="edge"/>
          <c:x val="0.1243312767722218"/>
          <c:y val="0.26275945991421218"/>
          <c:w val="0.55073502175864386"/>
          <c:h val="0.6264359800406355"/>
        </c:manualLayout>
      </c:layout>
      <c:barChart>
        <c:barDir val="col"/>
        <c:grouping val="stacked"/>
        <c:ser>
          <c:idx val="0"/>
          <c:order val="0"/>
          <c:tx>
            <c:strRef>
              <c:f>Sheet1!$B$47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Sheet1!$C$46:$E$46</c:f>
              <c:strCache>
                <c:ptCount val="3"/>
                <c:pt idx="0">
                  <c:v>31.12.2015</c:v>
                </c:pt>
                <c:pt idx="1">
                  <c:v>31.12.2016</c:v>
                </c:pt>
                <c:pt idx="2">
                  <c:v>31.12.2017</c:v>
                </c:pt>
              </c:strCache>
            </c:strRef>
          </c:cat>
          <c:val>
            <c:numRef>
              <c:f>Sheet1!$C$47:$E$47</c:f>
              <c:numCache>
                <c:formatCode>0.0</c:formatCode>
                <c:ptCount val="3"/>
                <c:pt idx="0">
                  <c:v>10.540241390223898</c:v>
                </c:pt>
                <c:pt idx="1">
                  <c:v>12.480910826342599</c:v>
                </c:pt>
                <c:pt idx="2">
                  <c:v>13.482398696423704</c:v>
                </c:pt>
              </c:numCache>
            </c:numRef>
          </c:val>
        </c:ser>
        <c:ser>
          <c:idx val="1"/>
          <c:order val="1"/>
          <c:tx>
            <c:strRef>
              <c:f>Sheet1!$B$48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elete val="1"/>
          </c:dLbls>
          <c:cat>
            <c:strRef>
              <c:f>Sheet1!$C$46:$E$46</c:f>
              <c:strCache>
                <c:ptCount val="3"/>
                <c:pt idx="0">
                  <c:v>31.12.2015</c:v>
                </c:pt>
                <c:pt idx="1">
                  <c:v>31.12.2016</c:v>
                </c:pt>
                <c:pt idx="2">
                  <c:v>31.12.2017</c:v>
                </c:pt>
              </c:strCache>
            </c:strRef>
          </c:cat>
          <c:val>
            <c:numRef>
              <c:f>Sheet1!$C$48:$E$48</c:f>
              <c:numCache>
                <c:formatCode>0.0</c:formatCode>
                <c:ptCount val="3"/>
                <c:pt idx="0">
                  <c:v>89.459758609776102</c:v>
                </c:pt>
                <c:pt idx="1">
                  <c:v>87.519089173657378</c:v>
                </c:pt>
                <c:pt idx="2">
                  <c:v>86.517601303576299</c:v>
                </c:pt>
              </c:numCache>
            </c:numRef>
          </c:val>
        </c:ser>
        <c:gapWidth val="55"/>
        <c:overlap val="100"/>
        <c:axId val="82653952"/>
        <c:axId val="82655488"/>
      </c:barChart>
      <c:catAx>
        <c:axId val="826539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2655488"/>
        <c:crosses val="autoZero"/>
        <c:auto val="1"/>
        <c:lblAlgn val="ctr"/>
        <c:lblOffset val="100"/>
      </c:catAx>
      <c:valAx>
        <c:axId val="8265548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265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15889654418197749"/>
          <c:w val="0.95119632773176011"/>
          <c:h val="8.0239136774569841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պարտքի մինչև  մարում  միջին ժամկետը, տարի</a:t>
            </a:r>
          </a:p>
        </c:rich>
      </c:tx>
    </c:title>
    <c:plotArea>
      <c:layout>
        <c:manualLayout>
          <c:layoutTarget val="inner"/>
          <c:xMode val="edge"/>
          <c:yMode val="edge"/>
          <c:x val="0.10003018372703416"/>
          <c:y val="0.19082203266258385"/>
          <c:w val="0.54642808466422421"/>
          <c:h val="0.70650845727617484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Sheet1!$C$3:$E$3</c:f>
              <c:strCache>
                <c:ptCount val="3"/>
                <c:pt idx="0">
                  <c:v>31.12.2015</c:v>
                </c:pt>
                <c:pt idx="1">
                  <c:v>31.12.2016</c:v>
                </c:pt>
                <c:pt idx="2">
                  <c:v>31.12.2017</c:v>
                </c:pt>
              </c:strCache>
            </c:strRef>
          </c:cat>
          <c:val>
            <c:numRef>
              <c:f>Sheet1!$C$4:$E$4</c:f>
              <c:numCache>
                <c:formatCode>0.0</c:formatCode>
                <c:ptCount val="3"/>
                <c:pt idx="0">
                  <c:v>9.7367153370412094</c:v>
                </c:pt>
                <c:pt idx="1">
                  <c:v>9.2252685835534187</c:v>
                </c:pt>
                <c:pt idx="2">
                  <c:v>8.9859473938250254</c:v>
                </c:pt>
              </c:numCache>
            </c:numRef>
          </c:val>
        </c:ser>
        <c:gapWidth val="75"/>
        <c:overlap val="40"/>
        <c:axId val="88156416"/>
        <c:axId val="87334912"/>
      </c:barChart>
      <c:catAx>
        <c:axId val="881564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7334912"/>
        <c:crosses val="autoZero"/>
        <c:auto val="1"/>
        <c:lblAlgn val="ctr"/>
        <c:lblOffset val="100"/>
      </c:catAx>
      <c:valAx>
        <c:axId val="87334912"/>
        <c:scaling>
          <c:orientation val="minMax"/>
          <c:max val="11"/>
          <c:min val="1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815641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9.1502187226596671E-2"/>
          <c:y val="0.21501166520851545"/>
          <c:w val="0.65572003499562648"/>
          <c:h val="0.63461395450568758"/>
        </c:manualLayout>
      </c:layout>
      <c:barChart>
        <c:barDir val="col"/>
        <c:grouping val="clustered"/>
        <c:ser>
          <c:idx val="0"/>
          <c:order val="0"/>
          <c:tx>
            <c:strRef>
              <c:f>Sheet1!$B$26</c:f>
              <c:strCache>
                <c:ptCount val="1"/>
                <c:pt idx="0">
                  <c:v>Առաջիկա 365 օրվա ընթացքում մարման ենթակա ՀՀ կառավարության պարտքի տեսակարար կշիռը, %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Sheet1!$C$24:$D$24</c:f>
              <c:strCache>
                <c:ptCount val="2"/>
                <c:pt idx="0">
                  <c:v>31.12.2016</c:v>
                </c:pt>
                <c:pt idx="1">
                  <c:v>31.12.2017</c:v>
                </c:pt>
              </c:strCache>
            </c:strRef>
          </c:cat>
          <c:val>
            <c:numRef>
              <c:f>Sheet1!$C$25:$D$25</c:f>
              <c:numCache>
                <c:formatCode>0.0</c:formatCode>
                <c:ptCount val="2"/>
                <c:pt idx="0">
                  <c:v>6.1692064844979599</c:v>
                </c:pt>
                <c:pt idx="1">
                  <c:v>5.2801361526564685</c:v>
                </c:pt>
              </c:numCache>
            </c:numRef>
          </c:val>
        </c:ser>
        <c:gapWidth val="75"/>
        <c:overlap val="40"/>
        <c:axId val="87666048"/>
        <c:axId val="87684224"/>
      </c:barChart>
      <c:catAx>
        <c:axId val="876660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7684224"/>
        <c:crosses val="autoZero"/>
        <c:auto val="1"/>
        <c:lblAlgn val="ctr"/>
        <c:lblOffset val="100"/>
      </c:catAx>
      <c:valAx>
        <c:axId val="87684224"/>
        <c:scaling>
          <c:orientation val="minMax"/>
          <c:max val="20"/>
          <c:min val="2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766604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ներքին  և արտաքին պարտքի կշիռները, %</a:t>
            </a: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21603018372703447"/>
          <c:w val="0.55255336832895796"/>
          <c:h val="0.52210046660834064"/>
        </c:manualLayout>
      </c:layout>
      <c:barChart>
        <c:barDir val="col"/>
        <c:grouping val="stacked"/>
        <c:ser>
          <c:idx val="0"/>
          <c:order val="0"/>
          <c:tx>
            <c:strRef>
              <c:f>Sheet1!$B$72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Sheet1!$C$71:$E$71</c:f>
              <c:strCache>
                <c:ptCount val="3"/>
                <c:pt idx="0">
                  <c:v>31.12.2015</c:v>
                </c:pt>
                <c:pt idx="1">
                  <c:v>31.12.2016</c:v>
                </c:pt>
                <c:pt idx="2">
                  <c:v>31.12.2017</c:v>
                </c:pt>
              </c:strCache>
            </c:strRef>
          </c:cat>
          <c:val>
            <c:numRef>
              <c:f>Sheet1!$C$72:$E$72</c:f>
              <c:numCache>
                <c:formatCode>0.0</c:formatCode>
                <c:ptCount val="3"/>
                <c:pt idx="0">
                  <c:v>16.548916116023499</c:v>
                </c:pt>
                <c:pt idx="1">
                  <c:v>20.901552884087089</c:v>
                </c:pt>
                <c:pt idx="2">
                  <c:v>20.730376683441389</c:v>
                </c:pt>
              </c:numCache>
            </c:numRef>
          </c:val>
        </c:ser>
        <c:ser>
          <c:idx val="1"/>
          <c:order val="1"/>
          <c:tx>
            <c:strRef>
              <c:f>Sheet1!$B$73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Sheet1!$C$71:$E$71</c:f>
              <c:strCache>
                <c:ptCount val="3"/>
                <c:pt idx="0">
                  <c:v>31.12.2015</c:v>
                </c:pt>
                <c:pt idx="1">
                  <c:v>31.12.2016</c:v>
                </c:pt>
                <c:pt idx="2">
                  <c:v>31.12.2017</c:v>
                </c:pt>
              </c:strCache>
            </c:strRef>
          </c:cat>
          <c:val>
            <c:numRef>
              <c:f>Sheet1!$C$73:$E$73</c:f>
              <c:numCache>
                <c:formatCode>0.0</c:formatCode>
                <c:ptCount val="3"/>
                <c:pt idx="0">
                  <c:v>83.451083883976494</c:v>
                </c:pt>
                <c:pt idx="1">
                  <c:v>79.098447115912862</c:v>
                </c:pt>
                <c:pt idx="2">
                  <c:v>79.26962331655858</c:v>
                </c:pt>
              </c:numCache>
            </c:numRef>
          </c:val>
        </c:ser>
        <c:gapWidth val="75"/>
        <c:overlap val="100"/>
        <c:axId val="88180608"/>
        <c:axId val="88182144"/>
      </c:barChart>
      <c:catAx>
        <c:axId val="88180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8182144"/>
        <c:crosses val="autoZero"/>
        <c:auto val="1"/>
        <c:lblAlgn val="ctr"/>
        <c:lblOffset val="100"/>
      </c:catAx>
      <c:valAx>
        <c:axId val="8818214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8180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0906121751587863E-2"/>
          <c:y val="0.89819333386001343"/>
          <c:w val="0.90949872018558164"/>
          <c:h val="7.4811360559858583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2014-2017 թթ. /դեկտեմբեր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9.2278719397363471E-2"/>
          <c:y val="0.21990740740740763"/>
          <c:w val="0.58324121539147922"/>
          <c:h val="0.6622222222222226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9075091939054968E-2"/>
                  <c:y val="-3.2407407407407433E-2"/>
                </c:manualLayout>
              </c:layout>
              <c:showVal val="1"/>
            </c:dLbl>
            <c:dLbl>
              <c:idx val="1"/>
              <c:layout>
                <c:manualLayout>
                  <c:x val="-7.5578865887682867E-2"/>
                  <c:y val="-4.6296296296296335E-2"/>
                </c:manualLayout>
              </c:layout>
              <c:showVal val="1"/>
            </c:dLbl>
            <c:dLbl>
              <c:idx val="2"/>
              <c:layout>
                <c:manualLayout>
                  <c:x val="-7.018037546713414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6.2082639836311085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31.12.2014</c:v>
                </c:pt>
                <c:pt idx="1">
                  <c:v>31.12.2015</c:v>
                </c:pt>
                <c:pt idx="2">
                  <c:v>31.12.2016</c:v>
                </c:pt>
                <c:pt idx="3">
                  <c:v>31.12.2017</c:v>
                </c:pt>
              </c:strCache>
            </c:strRef>
          </c:cat>
          <c:val>
            <c:numRef>
              <c:f>Sheet1!$C$27:$F$27</c:f>
              <c:numCache>
                <c:formatCode>#,##0.0</c:formatCode>
                <c:ptCount val="4"/>
                <c:pt idx="0">
                  <c:v>4441.5244310772341</c:v>
                </c:pt>
                <c:pt idx="1">
                  <c:v>5077.6930889553514</c:v>
                </c:pt>
                <c:pt idx="2">
                  <c:v>5942.09474550702</c:v>
                </c:pt>
                <c:pt idx="3">
                  <c:v>6774.6042683684836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7.5578865887682867E-2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8.0977356308231767E-3"/>
                  <c:y val="9.259259259259274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3888888888888904E-2"/>
                </c:manualLayout>
              </c:layout>
              <c:showVal val="1"/>
            </c:dLbl>
            <c:dLbl>
              <c:idx val="3"/>
              <c:layout>
                <c:manualLayout>
                  <c:x val="-2.69924521027439E-2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31.12.2014</c:v>
                </c:pt>
                <c:pt idx="1">
                  <c:v>31.12.2015</c:v>
                </c:pt>
                <c:pt idx="2">
                  <c:v>31.12.2016</c:v>
                </c:pt>
                <c:pt idx="3">
                  <c:v>31.12.2017</c:v>
                </c:pt>
              </c:strCache>
            </c:strRef>
          </c:cat>
          <c:val>
            <c:numRef>
              <c:f>Sheet1!$C$28:$F$28</c:f>
              <c:numCache>
                <c:formatCode>#,##0.0</c:formatCode>
                <c:ptCount val="4"/>
                <c:pt idx="0">
                  <c:v>4001.5710236533919</c:v>
                </c:pt>
                <c:pt idx="1">
                  <c:v>4601.3564482907404</c:v>
                </c:pt>
                <c:pt idx="2">
                  <c:v>5437.4301517143385</c:v>
                </c:pt>
                <c:pt idx="3">
                  <c:v>6173.0626470610241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8894716471920706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1.0796980841097559E-2"/>
                  <c:y val="-2.7777777777777821E-2"/>
                </c:manualLayout>
              </c:layout>
              <c:showVal val="1"/>
            </c:dLbl>
            <c:dLbl>
              <c:idx val="2"/>
              <c:layout>
                <c:manualLayout>
                  <c:x val="-4.5887168574664572E-2"/>
                  <c:y val="-6.4814814814814867E-2"/>
                </c:manualLayout>
              </c:layout>
              <c:showVal val="1"/>
            </c:dLbl>
            <c:dLbl>
              <c:idx val="3"/>
              <c:layout>
                <c:manualLayout>
                  <c:x val="-4.8586413784939018E-2"/>
                  <c:y val="-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31.12.2014</c:v>
                </c:pt>
                <c:pt idx="1">
                  <c:v>31.12.2015</c:v>
                </c:pt>
                <c:pt idx="2">
                  <c:v>31.12.2016</c:v>
                </c:pt>
                <c:pt idx="3">
                  <c:v>31.12.2017</c:v>
                </c:pt>
              </c:strCache>
            </c:strRef>
          </c:cat>
          <c:val>
            <c:numRef>
              <c:f>Sheet1!$C$29:$F$29</c:f>
              <c:numCache>
                <c:formatCode>0.0</c:formatCode>
                <c:ptCount val="4"/>
                <c:pt idx="0">
                  <c:v>439.95340742383598</c:v>
                </c:pt>
                <c:pt idx="1">
                  <c:v>476.33664066461205</c:v>
                </c:pt>
                <c:pt idx="2">
                  <c:v>504.66459379267479</c:v>
                </c:pt>
                <c:pt idx="3">
                  <c:v>601.54162130746329</c:v>
                </c:pt>
              </c:numCache>
            </c:numRef>
          </c:val>
        </c:ser>
        <c:dLbls>
          <c:showVal val="1"/>
        </c:dLbls>
        <c:marker val="1"/>
        <c:axId val="55474432"/>
        <c:axId val="55484416"/>
      </c:lineChart>
      <c:catAx>
        <c:axId val="554744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484416"/>
        <c:crosses val="autoZero"/>
        <c:auto val="1"/>
        <c:lblAlgn val="ctr"/>
        <c:lblOffset val="100"/>
      </c:catAx>
      <c:valAx>
        <c:axId val="5548441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474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95596489620959"/>
          <c:y val="0.18920713035870532"/>
          <c:w val="0.30427294767566337"/>
          <c:h val="0.70422426363371304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600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կառավարության արտաքին, ներքին և ՀՀ ԿԲ արտաքին  պարտքերը 2014-2017թթ. /դեկտեմբեր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0920983373973002"/>
          <c:y val="0.22615740740740761"/>
          <c:w val="0.60973305459950922"/>
          <c:h val="0.671173082531351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3416070809295107E-2"/>
                  <c:y val="-4.6296296296296335E-2"/>
                </c:manualLayout>
              </c:layout>
              <c:showVal val="1"/>
            </c:dLbl>
            <c:dLbl>
              <c:idx val="1"/>
              <c:layout>
                <c:manualLayout>
                  <c:x val="-0.12638644874198754"/>
                  <c:y val="-1.3888888888888904E-2"/>
                </c:manualLayout>
              </c:layout>
              <c:showVal val="1"/>
            </c:dLbl>
            <c:dLbl>
              <c:idx val="2"/>
              <c:layout>
                <c:manualLayout>
                  <c:x val="-0.12913398023637856"/>
                  <c:y val="-2.7777777777777821E-2"/>
                </c:manualLayout>
              </c:layout>
              <c:showVal val="1"/>
            </c:dLbl>
            <c:dLbl>
              <c:idx val="3"/>
              <c:layout>
                <c:manualLayout>
                  <c:x val="-5.7698161382211732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31.12.2014</c:v>
                </c:pt>
                <c:pt idx="1">
                  <c:v>31.12.2015</c:v>
                </c:pt>
                <c:pt idx="2">
                  <c:v>31.12.2016</c:v>
                </c:pt>
                <c:pt idx="3">
                  <c:v>31.12.2017</c:v>
                </c:pt>
              </c:strCache>
            </c:strRef>
          </c:cat>
          <c:val>
            <c:numRef>
              <c:f>Sheet1!$C$49:$F$49</c:f>
              <c:numCache>
                <c:formatCode>#,##0.0;[Red]#,##0.0</c:formatCode>
                <c:ptCount val="4"/>
                <c:pt idx="0">
                  <c:v>1588.89585525599</c:v>
                </c:pt>
                <c:pt idx="1">
                  <c:v>1857.54283500315</c:v>
                </c:pt>
                <c:pt idx="2">
                  <c:v>2081.3885861206381</c:v>
                </c:pt>
                <c:pt idx="3">
                  <c:v>2368.8772739422425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5.7698161382211718E-2"/>
                  <c:y val="-7.407407407407407E-2"/>
                </c:manualLayout>
              </c:layout>
              <c:showVal val="1"/>
            </c:dLbl>
            <c:dLbl>
              <c:idx val="1"/>
              <c:layout>
                <c:manualLayout>
                  <c:x val="-8.2425944831730991E-2"/>
                  <c:y val="-6.94444444444445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368.4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9.616360230368623E-2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5.7698161382211732E-2"/>
                  <c:y val="-4.629629629629623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31.12.2014</c:v>
                </c:pt>
                <c:pt idx="1">
                  <c:v>31.12.2015</c:v>
                </c:pt>
                <c:pt idx="2">
                  <c:v>31.12.2016</c:v>
                </c:pt>
                <c:pt idx="3">
                  <c:v>31.12.2017</c:v>
                </c:pt>
              </c:strCache>
            </c:strRef>
          </c:cat>
          <c:val>
            <c:numRef>
              <c:f>Sheet1!$C$50:$F$50</c:f>
              <c:numCache>
                <c:formatCode>General</c:formatCode>
                <c:ptCount val="4"/>
                <c:pt idx="0" formatCode="0.0">
                  <c:v>311.73033384865943</c:v>
                </c:pt>
                <c:pt idx="1">
                  <c:v>368.36334685749978</c:v>
                </c:pt>
                <c:pt idx="2" formatCode="0.0">
                  <c:v>550.00136150000003</c:v>
                </c:pt>
                <c:pt idx="3" formatCode="0.0">
                  <c:v>619.50235350000003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3737657471955142E-2"/>
                  <c:y val="3.2407407407407426E-2"/>
                </c:manualLayout>
              </c:layout>
              <c:showVal val="1"/>
            </c:dLbl>
            <c:dLbl>
              <c:idx val="1"/>
              <c:layout>
                <c:manualLayout>
                  <c:x val="-1.9232720460737249E-2"/>
                  <c:y val="3.2407407407407426E-2"/>
                </c:manualLayout>
              </c:layout>
              <c:showVal val="1"/>
            </c:dLbl>
            <c:dLbl>
              <c:idx val="2"/>
              <c:layout>
                <c:manualLayout>
                  <c:x val="-1.6485188966346213E-2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4.9455566899038642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31.12.2014</c:v>
                </c:pt>
                <c:pt idx="1">
                  <c:v>31.12.2015</c:v>
                </c:pt>
                <c:pt idx="2">
                  <c:v>31.12.2016</c:v>
                </c:pt>
                <c:pt idx="3">
                  <c:v>31.12.2017</c:v>
                </c:pt>
              </c:strCache>
            </c:strRef>
          </c:cat>
          <c:val>
            <c:numRef>
              <c:f>Sheet1!$C$51:$F$51</c:f>
              <c:numCache>
                <c:formatCode>0.0</c:formatCode>
                <c:ptCount val="4"/>
                <c:pt idx="0">
                  <c:v>208.9646699240989</c:v>
                </c:pt>
                <c:pt idx="1">
                  <c:v>230.42784992150601</c:v>
                </c:pt>
                <c:pt idx="2">
                  <c:v>244.22738352002699</c:v>
                </c:pt>
                <c:pt idx="3" formatCode="0.0;[Red]0.0">
                  <c:v>291.206298874943</c:v>
                </c:pt>
              </c:numCache>
            </c:numRef>
          </c:val>
        </c:ser>
        <c:dLbls>
          <c:showVal val="1"/>
        </c:dLbls>
        <c:marker val="1"/>
        <c:axId val="55503104"/>
        <c:axId val="55517184"/>
      </c:lineChart>
      <c:catAx>
        <c:axId val="555031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517184"/>
        <c:crosses val="autoZero"/>
        <c:auto val="1"/>
        <c:lblAlgn val="ctr"/>
        <c:lblOffset val="100"/>
      </c:catAx>
      <c:valAx>
        <c:axId val="55517184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50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54230084344851"/>
          <c:y val="0.22000874890638669"/>
          <c:w val="0.27063293390282978"/>
          <c:h val="0.67039880431612786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կառավարության արտաքին, ներքին և ՀՀ ԿԲ արտաքին պարտքերը 2014-2017թթ. /դեկտեմբեր ամսվա վերջի դրությամբ, մլն 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0861957399599773"/>
          <c:y val="0.21274314668999725"/>
          <c:w val="0.62157428099427692"/>
          <c:h val="0.66938648293963254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6305958445295025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9.7094203250956898E-2"/>
                  <c:y val="-5.0925925925925992E-2"/>
                </c:manualLayout>
              </c:layout>
              <c:showVal val="1"/>
            </c:dLbl>
            <c:dLbl>
              <c:idx val="2"/>
              <c:layout>
                <c:manualLayout>
                  <c:x val="-9.9791264452372297E-2"/>
                  <c:y val="-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8.0911836042464061E-2"/>
                  <c:y val="-4.62962962962963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31.12.2014</c:v>
                </c:pt>
                <c:pt idx="1">
                  <c:v>31.12.2015</c:v>
                </c:pt>
                <c:pt idx="2">
                  <c:v>31.12.2016</c:v>
                </c:pt>
                <c:pt idx="3">
                  <c:v>31.12.2017</c:v>
                </c:pt>
              </c:strCache>
            </c:strRef>
          </c:cat>
          <c:val>
            <c:numRef>
              <c:f>Sheet1!$C$71:$F$71</c:f>
              <c:numCache>
                <c:formatCode>#,##0.0</c:formatCode>
                <c:ptCount val="4"/>
                <c:pt idx="0">
                  <c:v>3345.25518507693</c:v>
                </c:pt>
                <c:pt idx="1">
                  <c:v>3839.8818294638686</c:v>
                </c:pt>
                <c:pt idx="2">
                  <c:v>4300.9228129946696</c:v>
                </c:pt>
                <c:pt idx="3">
                  <c:v>4893.3635074204503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6.4729468833971307E-2"/>
                  <c:y val="-6.0185185185185085E-2"/>
                </c:manualLayout>
              </c:layout>
              <c:showVal val="1"/>
            </c:dLbl>
            <c:dLbl>
              <c:idx val="1"/>
              <c:layout>
                <c:manualLayout>
                  <c:x val="-5.9335346431140336E-2"/>
                  <c:y val="-5.5555555555555643E-2"/>
                </c:manualLayout>
              </c:layout>
              <c:showVal val="1"/>
            </c:dLbl>
            <c:dLbl>
              <c:idx val="2"/>
              <c:layout>
                <c:manualLayout>
                  <c:x val="-7.2820652438217698E-2"/>
                  <c:y val="-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6.2032407632555825E-2"/>
                  <c:y val="-5.092592592592586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31.12.2014</c:v>
                </c:pt>
                <c:pt idx="1">
                  <c:v>31.12.2015</c:v>
                </c:pt>
                <c:pt idx="2">
                  <c:v>31.12.2016</c:v>
                </c:pt>
                <c:pt idx="3">
                  <c:v>31.12.2017</c:v>
                </c:pt>
              </c:strCache>
            </c:strRef>
          </c:cat>
          <c:val>
            <c:numRef>
              <c:f>Sheet1!$C$72:$F$72</c:f>
              <c:numCache>
                <c:formatCode>#,##0.0;[Red]#,##0.0</c:formatCode>
                <c:ptCount val="4"/>
                <c:pt idx="0">
                  <c:v>656.31583857645762</c:v>
                </c:pt>
                <c:pt idx="1">
                  <c:v>761.4746188268731</c:v>
                </c:pt>
                <c:pt idx="2" formatCode="_(* #,##0.0_);_(* \(#,##0.0\);_(* &quot;-&quot;??_);_(@_)">
                  <c:v>1136.5073387196799</c:v>
                </c:pt>
                <c:pt idx="3" formatCode="_(* #,##0.0_);_(* \(#,##0.0\);_(* &quot;-&quot;??_);_(@_)">
                  <c:v>1279.6991396405699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0788244805661875E-2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1.8879428409908292E-2"/>
                  <c:y val="2.7777777777777811E-2"/>
                </c:manualLayout>
              </c:layout>
              <c:showVal val="1"/>
            </c:dLbl>
            <c:dLbl>
              <c:idx val="2"/>
              <c:layout>
                <c:manualLayout>
                  <c:x val="-1.3485306007077348E-2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1.6182367208492823E-2"/>
                  <c:y val="2.777777777777781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31.12.2014</c:v>
                </c:pt>
                <c:pt idx="1">
                  <c:v>31.12.2015</c:v>
                </c:pt>
                <c:pt idx="2">
                  <c:v>31.12.2016</c:v>
                </c:pt>
                <c:pt idx="3">
                  <c:v>31.12.2017</c:v>
                </c:pt>
              </c:strCache>
            </c:strRef>
          </c:cat>
          <c:val>
            <c:numRef>
              <c:f>Sheet1!$C$73:$F$73</c:f>
              <c:numCache>
                <c:formatCode>0.0</c:formatCode>
                <c:ptCount val="4"/>
                <c:pt idx="0">
                  <c:v>439.95340742383598</c:v>
                </c:pt>
                <c:pt idx="1">
                  <c:v>476.33664066461205</c:v>
                </c:pt>
                <c:pt idx="2">
                  <c:v>504.66459379267485</c:v>
                </c:pt>
                <c:pt idx="3">
                  <c:v>601.54162130746352</c:v>
                </c:pt>
              </c:numCache>
            </c:numRef>
          </c:val>
        </c:ser>
        <c:dLbls>
          <c:showVal val="1"/>
        </c:dLbls>
        <c:marker val="1"/>
        <c:axId val="55544064"/>
        <c:axId val="55562240"/>
      </c:lineChart>
      <c:catAx>
        <c:axId val="555440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562240"/>
        <c:crosses val="autoZero"/>
        <c:auto val="1"/>
        <c:lblAlgn val="ctr"/>
        <c:lblOffset val="100"/>
      </c:catAx>
      <c:valAx>
        <c:axId val="5556224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544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75403736258059"/>
          <c:y val="0.18060367454068238"/>
          <c:w val="0.25696919552610625"/>
          <c:h val="0.8186533974919806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Sheet1!$B$237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7.7461326926637236E-2"/>
                  <c:y val="-5.164623142462450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8767051953244928E-2"/>
                  <c:y val="7.41777327062355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0829897652352765E-2"/>
                  <c:y val="-4.084935679892677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3888888888888911E-2"/>
                  <c:y val="-1.619433198380566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Sheet1!$C$235:$E$235</c:f>
              <c:strCache>
                <c:ptCount val="3"/>
                <c:pt idx="0">
                  <c:v>31.12.2015</c:v>
                </c:pt>
                <c:pt idx="1">
                  <c:v>31.12.2016</c:v>
                </c:pt>
                <c:pt idx="2">
                  <c:v>31.12.2017</c:v>
                </c:pt>
              </c:strCache>
            </c:strRef>
          </c:cat>
          <c:val>
            <c:numRef>
              <c:f>Sheet1!$C$236:$E$236</c:f>
              <c:numCache>
                <c:formatCode>#,##0.0;[Red]#,##0.0</c:formatCode>
                <c:ptCount val="3"/>
                <c:pt idx="0" formatCode="#,##0.00;[Red]#,##0.00">
                  <c:v>2936.2151524612814</c:v>
                </c:pt>
                <c:pt idx="1">
                  <c:v>3379.9525870887901</c:v>
                </c:pt>
                <c:pt idx="2">
                  <c:v>4021.0232631182698</c:v>
                </c:pt>
              </c:numCache>
            </c:numRef>
          </c:val>
        </c:ser>
        <c:dLbls>
          <c:showVal val="1"/>
        </c:dLbls>
        <c:marker val="1"/>
        <c:axId val="55648256"/>
        <c:axId val="55649792"/>
      </c:lineChart>
      <c:catAx>
        <c:axId val="556482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649792"/>
        <c:crosses val="autoZero"/>
        <c:auto val="1"/>
        <c:lblAlgn val="ctr"/>
        <c:lblOffset val="100"/>
      </c:catAx>
      <c:valAx>
        <c:axId val="55649792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64825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արտաքին պարտքի կառուցվածքն ըստ վարկատուների, %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2106253942650897"/>
          <c:w val="1"/>
          <c:h val="0.51756725463735564"/>
        </c:manualLayout>
      </c:layout>
      <c:barChart>
        <c:barDir val="col"/>
        <c:grouping val="stacked"/>
        <c:ser>
          <c:idx val="0"/>
          <c:order val="0"/>
          <c:tx>
            <c:strRef>
              <c:f>Sheet1!$B$175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Sheet1!$C$174:$E$174</c:f>
              <c:strCache>
                <c:ptCount val="3"/>
                <c:pt idx="0">
                  <c:v>31.12.2015</c:v>
                </c:pt>
                <c:pt idx="1">
                  <c:v>31.12.2016</c:v>
                </c:pt>
                <c:pt idx="2">
                  <c:v>31.12.2017</c:v>
                </c:pt>
              </c:strCache>
            </c:strRef>
          </c:cat>
          <c:val>
            <c:numRef>
              <c:f>Sheet1!$C$175:$E$175</c:f>
              <c:numCache>
                <c:formatCode>0.00</c:formatCode>
                <c:ptCount val="3"/>
                <c:pt idx="0">
                  <c:v>84.774284260057243</c:v>
                </c:pt>
                <c:pt idx="1">
                  <c:v>83.770658523853214</c:v>
                </c:pt>
                <c:pt idx="2">
                  <c:v>78.766588519272602</c:v>
                </c:pt>
              </c:numCache>
            </c:numRef>
          </c:val>
        </c:ser>
        <c:ser>
          <c:idx val="1"/>
          <c:order val="1"/>
          <c:tx>
            <c:strRef>
              <c:f>Sheet1!$B$176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Sheet1!$C$174:$E$174</c:f>
              <c:strCache>
                <c:ptCount val="3"/>
                <c:pt idx="0">
                  <c:v>31.12.2015</c:v>
                </c:pt>
                <c:pt idx="1">
                  <c:v>31.12.2016</c:v>
                </c:pt>
                <c:pt idx="2">
                  <c:v>31.12.2017</c:v>
                </c:pt>
              </c:strCache>
            </c:strRef>
          </c:cat>
          <c:val>
            <c:numRef>
              <c:f>Sheet1!$C$176:$E$176</c:f>
              <c:numCache>
                <c:formatCode>0.00</c:formatCode>
                <c:ptCount val="3"/>
                <c:pt idx="0">
                  <c:v>14.437140922337999</c:v>
                </c:pt>
                <c:pt idx="1">
                  <c:v>15.565565447777784</c:v>
                </c:pt>
                <c:pt idx="2">
                  <c:v>20.622226256782984</c:v>
                </c:pt>
              </c:numCache>
            </c:numRef>
          </c:val>
        </c:ser>
        <c:ser>
          <c:idx val="2"/>
          <c:order val="2"/>
          <c:tx>
            <c:strRef>
              <c:f>Sheet1!$B$177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-7.9137061235884133E-3"/>
                  <c:y val="-3.8029113732003551E-2"/>
                </c:manualLayout>
              </c:layout>
              <c:showVal val="1"/>
            </c:dLbl>
            <c:dLbl>
              <c:idx val="1"/>
              <c:layout>
                <c:manualLayout>
                  <c:x val="-7.9137061235884133E-3"/>
                  <c:y val="-3.1690928110002951E-2"/>
                </c:manualLayout>
              </c:layout>
              <c:showVal val="1"/>
            </c:dLbl>
            <c:dLbl>
              <c:idx val="2"/>
              <c:layout>
                <c:manualLayout>
                  <c:x val="-5.2758040823921836E-3"/>
                  <c:y val="-3.169092811000295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Sheet1!$C$174:$E$174</c:f>
              <c:strCache>
                <c:ptCount val="3"/>
                <c:pt idx="0">
                  <c:v>31.12.2015</c:v>
                </c:pt>
                <c:pt idx="1">
                  <c:v>31.12.2016</c:v>
                </c:pt>
                <c:pt idx="2">
                  <c:v>31.12.2017</c:v>
                </c:pt>
              </c:strCache>
            </c:strRef>
          </c:cat>
          <c:val>
            <c:numRef>
              <c:f>Sheet1!$C$177:$E$177</c:f>
              <c:numCache>
                <c:formatCode>0.00</c:formatCode>
                <c:ptCount val="3"/>
                <c:pt idx="0">
                  <c:v>0.78857481760483761</c:v>
                </c:pt>
                <c:pt idx="1">
                  <c:v>0.66377602836895777</c:v>
                </c:pt>
                <c:pt idx="2">
                  <c:v>0.61118522394436203</c:v>
                </c:pt>
              </c:numCache>
            </c:numRef>
          </c:val>
        </c:ser>
        <c:dLbls>
          <c:showVal val="1"/>
        </c:dLbls>
        <c:gapWidth val="95"/>
        <c:overlap val="100"/>
        <c:axId val="55668096"/>
        <c:axId val="55673984"/>
      </c:barChart>
      <c:catAx>
        <c:axId val="5566809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673984"/>
        <c:crosses val="autoZero"/>
        <c:auto val="1"/>
        <c:lblAlgn val="ctr"/>
        <c:lblOffset val="100"/>
      </c:catAx>
      <c:valAx>
        <c:axId val="55673984"/>
        <c:scaling>
          <c:orientation val="minMax"/>
        </c:scaling>
        <c:delete val="1"/>
        <c:axPos val="l"/>
        <c:numFmt formatCode="0.00" sourceLinked="1"/>
        <c:tickLblPos val="nextTo"/>
        <c:crossAx val="556680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5901356587859173E-2"/>
          <c:y val="0.20218812134181885"/>
          <c:w val="0.97083518886547782"/>
          <c:h val="9.352167559668792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պարտքի գծով վճարված տոկոսավճարներ, մլրդ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Sheet1!$B$135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Sheet1!$C$134:$E$134</c:f>
              <c:strCache>
                <c:ptCount val="3"/>
                <c:pt idx="0">
                  <c:v>01.01.2015-31.12.2015</c:v>
                </c:pt>
                <c:pt idx="1">
                  <c:v>01.01.2016-31.12.2016</c:v>
                </c:pt>
                <c:pt idx="2">
                  <c:v>01.01.2017-31.12.2017</c:v>
                </c:pt>
              </c:strCache>
            </c:strRef>
          </c:cat>
          <c:val>
            <c:numRef>
              <c:f>Sheet1!$C$135:$E$135</c:f>
              <c:numCache>
                <c:formatCode>0.00</c:formatCode>
                <c:ptCount val="3"/>
                <c:pt idx="0">
                  <c:v>74.083378858828013</c:v>
                </c:pt>
                <c:pt idx="1">
                  <c:v>98.274579073843881</c:v>
                </c:pt>
                <c:pt idx="2">
                  <c:v>122.110129577466</c:v>
                </c:pt>
              </c:numCache>
            </c:numRef>
          </c:val>
        </c:ser>
        <c:dLbls>
          <c:showVal val="1"/>
        </c:dLbls>
        <c:overlap val="-25"/>
        <c:axId val="55698560"/>
        <c:axId val="55700096"/>
      </c:barChart>
      <c:catAx>
        <c:axId val="556985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55700096"/>
        <c:crosses val="autoZero"/>
        <c:auto val="1"/>
        <c:lblAlgn val="ctr"/>
        <c:lblOffset val="100"/>
      </c:catAx>
      <c:valAx>
        <c:axId val="55700096"/>
        <c:scaling>
          <c:orientation val="minMax"/>
        </c:scaling>
        <c:delete val="1"/>
        <c:axPos val="l"/>
        <c:numFmt formatCode="0.00" sourceLinked="1"/>
        <c:tickLblPos val="nextTo"/>
        <c:crossAx val="55698560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պարտքի գծով վճարված ներքին և արտաքին տոկոսավճարներ, մլրդ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0551608164784548E-2"/>
          <c:y val="0.27410779381743966"/>
          <c:w val="0.98944839183521516"/>
          <c:h val="0.5552853419364242"/>
        </c:manualLayout>
      </c:layout>
      <c:barChart>
        <c:barDir val="col"/>
        <c:grouping val="stacked"/>
        <c:ser>
          <c:idx val="0"/>
          <c:order val="0"/>
          <c:tx>
            <c:strRef>
              <c:f>Sheet1!$B$155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Sheet1!$C$154:$E$154</c:f>
              <c:strCache>
                <c:ptCount val="3"/>
                <c:pt idx="0">
                  <c:v>01.01.2015-31.12.2015</c:v>
                </c:pt>
                <c:pt idx="1">
                  <c:v>01.01.2016-31.12.2016</c:v>
                </c:pt>
                <c:pt idx="2">
                  <c:v>01.01.2017-31.12.2017</c:v>
                </c:pt>
              </c:strCache>
            </c:strRef>
          </c:cat>
          <c:val>
            <c:numRef>
              <c:f>Sheet1!$C$155:$E$155</c:f>
              <c:numCache>
                <c:formatCode>0.00</c:formatCode>
                <c:ptCount val="3"/>
                <c:pt idx="0">
                  <c:v>32.178695943350021</c:v>
                </c:pt>
                <c:pt idx="1">
                  <c:v>42.030360917000003</c:v>
                </c:pt>
                <c:pt idx="2">
                  <c:v>58.181722400550001</c:v>
                </c:pt>
              </c:numCache>
            </c:numRef>
          </c:val>
        </c:ser>
        <c:ser>
          <c:idx val="1"/>
          <c:order val="1"/>
          <c:tx>
            <c:strRef>
              <c:f>Sheet1!$B$156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Sheet1!$C$154:$E$154</c:f>
              <c:strCache>
                <c:ptCount val="3"/>
                <c:pt idx="0">
                  <c:v>01.01.2015-31.12.2015</c:v>
                </c:pt>
                <c:pt idx="1">
                  <c:v>01.01.2016-31.12.2016</c:v>
                </c:pt>
                <c:pt idx="2">
                  <c:v>01.01.2017-31.12.2017</c:v>
                </c:pt>
              </c:strCache>
            </c:strRef>
          </c:cat>
          <c:val>
            <c:numRef>
              <c:f>Sheet1!$C$156:$E$156</c:f>
              <c:numCache>
                <c:formatCode>0.00</c:formatCode>
                <c:ptCount val="3"/>
                <c:pt idx="0">
                  <c:v>41.904682915478098</c:v>
                </c:pt>
                <c:pt idx="1">
                  <c:v>56.2442181568439</c:v>
                </c:pt>
                <c:pt idx="2" formatCode="#,##0.0;[Red]#,##0.0">
                  <c:v>63.928407176916195</c:v>
                </c:pt>
              </c:numCache>
            </c:numRef>
          </c:val>
        </c:ser>
        <c:dLbls>
          <c:showVal val="1"/>
        </c:dLbls>
        <c:gapWidth val="95"/>
        <c:overlap val="100"/>
        <c:axId val="55721344"/>
        <c:axId val="55743616"/>
      </c:barChart>
      <c:catAx>
        <c:axId val="557213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55743616"/>
        <c:crosses val="autoZero"/>
        <c:auto val="1"/>
        <c:lblAlgn val="ctr"/>
        <c:lblOffset val="100"/>
      </c:catAx>
      <c:valAx>
        <c:axId val="55743616"/>
        <c:scaling>
          <c:orientation val="minMax"/>
        </c:scaling>
        <c:delete val="1"/>
        <c:axPos val="l"/>
        <c:numFmt formatCode="0.00" sourceLinked="1"/>
        <c:tickLblPos val="nextTo"/>
        <c:crossAx val="557213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344907407407424"/>
          <c:w val="0.99770606376827009"/>
          <c:h val="9.0658719743365396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hy-AM" sz="900" b="1" i="0" baseline="0">
                <a:latin typeface="GHEA Grapalat" pitchFamily="50" charset="0"/>
              </a:rPr>
              <a:t>Պետական բյուջեի պակասուրդի ֆինանսավորումը փոխառու զուտ միջոցների հաշվին , մլրդ դրամ</a:t>
            </a:r>
            <a:endParaRPr lang="en-US" sz="900">
              <a:latin typeface="GHEA Grapalat" pitchFamily="50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hy-AM" sz="900">
                <a:latin typeface="GHEA Grapalat" pitchFamily="50" charset="0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2996148746764336"/>
          <c:w val="1"/>
          <c:h val="0.59376122229938788"/>
        </c:manualLayout>
      </c:layout>
      <c:barChart>
        <c:barDir val="col"/>
        <c:grouping val="clustered"/>
        <c:ser>
          <c:idx val="0"/>
          <c:order val="0"/>
          <c:tx>
            <c:strRef>
              <c:f>Sheet1!$B$96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Sheet1!$C$95:$E$95</c:f>
              <c:strCache>
                <c:ptCount val="3"/>
                <c:pt idx="0">
                  <c:v>01.01.2015-31.12.2015</c:v>
                </c:pt>
                <c:pt idx="1">
                  <c:v>01.01.2016-31.12.2016</c:v>
                </c:pt>
                <c:pt idx="2">
                  <c:v>01.01.2017-31.12.2017</c:v>
                </c:pt>
              </c:strCache>
            </c:strRef>
          </c:cat>
          <c:val>
            <c:numRef>
              <c:f>Sheet1!$C$96:$E$96</c:f>
              <c:numCache>
                <c:formatCode>0.00</c:formatCode>
                <c:ptCount val="3"/>
                <c:pt idx="0">
                  <c:v>316.81537182554001</c:v>
                </c:pt>
                <c:pt idx="1">
                  <c:v>409.40490883545317</c:v>
                </c:pt>
                <c:pt idx="2">
                  <c:v>278.72907551619284</c:v>
                </c:pt>
              </c:numCache>
            </c:numRef>
          </c:val>
        </c:ser>
        <c:dLbls>
          <c:showVal val="1"/>
        </c:dLbls>
        <c:overlap val="-25"/>
        <c:axId val="55764096"/>
        <c:axId val="55765632"/>
      </c:barChart>
      <c:catAx>
        <c:axId val="557640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55765632"/>
        <c:crosses val="autoZero"/>
        <c:auto val="1"/>
        <c:lblAlgn val="ctr"/>
        <c:lblOffset val="100"/>
      </c:catAx>
      <c:valAx>
        <c:axId val="55765632"/>
        <c:scaling>
          <c:orientation val="minMax"/>
        </c:scaling>
        <c:delete val="1"/>
        <c:axPos val="l"/>
        <c:numFmt formatCode="0.00" sourceLinked="1"/>
        <c:tickLblPos val="nextTo"/>
        <c:crossAx val="55764096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0.68615</cdr:x>
      <cdr:y>0.3733</cdr:y>
    </cdr:from>
    <cdr:to>
      <cdr:x>0.98202</cdr:x>
      <cdr:y>0.79019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120104" y="1089330"/>
          <a:ext cx="1345381" cy="1216550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0.67013</cdr:x>
      <cdr:y>0.17361</cdr:y>
    </cdr:from>
    <cdr:to>
      <cdr:x>0.97429</cdr:x>
      <cdr:y>0.40972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482969" y="476250"/>
          <a:ext cx="1127006" cy="647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0.82917</cdr:x>
      <cdr:y>0.20486</cdr:y>
    </cdr:from>
    <cdr:to>
      <cdr:x>0.99583</cdr:x>
      <cdr:y>0.71875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790950" y="561975"/>
          <a:ext cx="762000" cy="1409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</cdr:x>
      <cdr:y>0.59722</cdr:y>
    </cdr:from>
    <cdr:to>
      <cdr:x>0.97708</cdr:x>
      <cdr:y>0.78472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200400" y="1638294"/>
          <a:ext cx="1266810" cy="514350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4</cp:revision>
  <cp:lastPrinted>2017-03-20T07:56:00Z</cp:lastPrinted>
  <dcterms:created xsi:type="dcterms:W3CDTF">2017-11-16T06:45:00Z</dcterms:created>
  <dcterms:modified xsi:type="dcterms:W3CDTF">2018-01-24T07:17:00Z</dcterms:modified>
</cp:coreProperties>
</file>