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6B" w:rsidRPr="002F2A59" w:rsidRDefault="002F2A59" w:rsidP="002F2A59">
      <w:pPr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r w:rsidRPr="002F2A59">
        <w:rPr>
          <w:rFonts w:ascii="GHEA Grapalat" w:hAnsi="GHEA Grapalat" w:cs="Sylfaen"/>
          <w:b/>
          <w:sz w:val="28"/>
          <w:szCs w:val="28"/>
        </w:rPr>
        <w:t>ՏԵՂԵԿԱՆՔ</w:t>
      </w:r>
    </w:p>
    <w:p w:rsidR="00102816" w:rsidRDefault="005403D8" w:rsidP="002F2A59">
      <w:pPr>
        <w:ind w:left="-360" w:firstLine="360"/>
        <w:jc w:val="center"/>
        <w:rPr>
          <w:rFonts w:ascii="GHEA Grapalat" w:hAnsi="GHEA Grapalat" w:cs="Sylfaen"/>
          <w:sz w:val="24"/>
          <w:szCs w:val="24"/>
        </w:rPr>
      </w:pPr>
      <w:r w:rsidRPr="005403D8">
        <w:rPr>
          <w:rFonts w:ascii="GHEA Grapalat" w:hAnsi="GHEA Grapalat" w:cs="Sylfaen"/>
          <w:sz w:val="24"/>
          <w:szCs w:val="24"/>
        </w:rPr>
        <w:t>2014-201</w:t>
      </w:r>
      <w:r w:rsidR="009C6F99">
        <w:rPr>
          <w:rFonts w:ascii="GHEA Grapalat" w:hAnsi="GHEA Grapalat" w:cs="Sylfaen"/>
          <w:sz w:val="24"/>
          <w:szCs w:val="24"/>
        </w:rPr>
        <w:t>7</w:t>
      </w:r>
      <w:r w:rsidRPr="005403D8">
        <w:rPr>
          <w:rFonts w:ascii="GHEA Grapalat" w:hAnsi="GHEA Grapalat" w:cs="Sylfaen"/>
          <w:sz w:val="24"/>
          <w:szCs w:val="24"/>
        </w:rPr>
        <w:t xml:space="preserve">թթ. </w:t>
      </w:r>
      <w:r w:rsidR="005573EF" w:rsidRPr="005573EF">
        <w:rPr>
          <w:rFonts w:ascii="GHEA Grapalat" w:hAnsi="GHEA Grapalat" w:cs="Sylfaen"/>
          <w:sz w:val="24"/>
          <w:szCs w:val="24"/>
        </w:rPr>
        <w:t>ՀՀ տնտեսությունը բնութագրող հիմնական մակրոտնտեսական ցուցանիշների վերաբերյալ (հունվար</w:t>
      </w:r>
      <w:r w:rsidR="003A58E5">
        <w:rPr>
          <w:rFonts w:ascii="GHEA Grapalat" w:hAnsi="GHEA Grapalat" w:cs="Sylfaen"/>
          <w:sz w:val="24"/>
          <w:szCs w:val="24"/>
        </w:rPr>
        <w:t>-</w:t>
      </w:r>
      <w:r w:rsidR="00803D24">
        <w:rPr>
          <w:rFonts w:ascii="GHEA Grapalat" w:hAnsi="GHEA Grapalat" w:cs="Sylfaen"/>
          <w:sz w:val="24"/>
          <w:szCs w:val="24"/>
        </w:rPr>
        <w:t>ապրիլ</w:t>
      </w:r>
      <w:r w:rsidR="005573EF" w:rsidRPr="005573EF">
        <w:rPr>
          <w:rFonts w:ascii="GHEA Grapalat" w:hAnsi="GHEA Grapalat" w:cs="Sylfaen"/>
          <w:sz w:val="24"/>
          <w:szCs w:val="24"/>
        </w:rPr>
        <w:t>)</w:t>
      </w:r>
      <w:r w:rsidR="00697E19">
        <w:rPr>
          <w:rFonts w:ascii="GHEA Grapalat" w:hAnsi="GHEA Grapalat"/>
          <w:sz w:val="24"/>
          <w:szCs w:val="24"/>
        </w:rPr>
        <w:t>`</w:t>
      </w:r>
      <w:r w:rsidR="00274F9A" w:rsidRPr="00274F9A">
        <w:rPr>
          <w:rFonts w:ascii="GHEA Grapalat" w:hAnsi="GHEA Grapalat"/>
          <w:sz w:val="24"/>
          <w:szCs w:val="24"/>
        </w:rPr>
        <w:t xml:space="preserve"> </w:t>
      </w:r>
      <w:r w:rsidR="00274F9A" w:rsidRPr="00274F9A">
        <w:rPr>
          <w:rFonts w:ascii="GHEA Grapalat" w:hAnsi="GHEA Grapalat" w:cs="Sylfaen"/>
          <w:sz w:val="24"/>
          <w:szCs w:val="24"/>
        </w:rPr>
        <w:t>գծապատկերներով</w:t>
      </w:r>
    </w:p>
    <w:p w:rsidR="00AC2D9E" w:rsidRDefault="00803D24" w:rsidP="00AC2D9E">
      <w:pPr>
        <w:ind w:left="-360" w:firstLine="360"/>
        <w:rPr>
          <w:rFonts w:ascii="GHEA Grapalat" w:hAnsi="GHEA Grapalat" w:cs="Sylfaen"/>
          <w:sz w:val="24"/>
          <w:szCs w:val="24"/>
        </w:rPr>
      </w:pPr>
      <w:r w:rsidRPr="00803D24">
        <w:rPr>
          <w:rFonts w:ascii="GHEA Grapalat" w:hAnsi="GHEA Grapalat" w:cs="Sylfaen"/>
          <w:noProof/>
          <w:sz w:val="24"/>
          <w:szCs w:val="24"/>
        </w:rPr>
        <w:drawing>
          <wp:inline distT="0" distB="0" distL="0" distR="0">
            <wp:extent cx="4543425" cy="274320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803D24">
        <w:rPr>
          <w:rFonts w:ascii="GHEA Grapalat" w:hAnsi="GHEA Grapalat" w:cs="Sylfaen"/>
          <w:noProof/>
          <w:sz w:val="24"/>
          <w:szCs w:val="24"/>
        </w:rPr>
        <w:drawing>
          <wp:inline distT="0" distB="0" distL="0" distR="0">
            <wp:extent cx="4686635" cy="2743200"/>
            <wp:effectExtent l="19050" t="0" r="1871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C2FD5" w:rsidRDefault="00803D24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803D24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43425" cy="2743200"/>
            <wp:effectExtent l="19050" t="0" r="9525" b="0"/>
            <wp:docPr id="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B1681D" w:rsidRPr="00B1681D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89810" cy="2743200"/>
            <wp:effectExtent l="19050" t="0" r="15540" b="0"/>
            <wp:docPr id="11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D2278" w:rsidRDefault="002D2278" w:rsidP="00E305FB">
      <w:pPr>
        <w:ind w:left="-360" w:firstLine="360"/>
        <w:rPr>
          <w:rFonts w:ascii="GHEA Grapalat" w:hAnsi="GHEA Grapalat"/>
          <w:sz w:val="24"/>
          <w:szCs w:val="24"/>
        </w:rPr>
      </w:pPr>
    </w:p>
    <w:p w:rsidR="00A40DCD" w:rsidRDefault="00A40DCD" w:rsidP="00E305FB">
      <w:pPr>
        <w:ind w:left="-360" w:firstLine="360"/>
        <w:rPr>
          <w:rFonts w:ascii="GHEA Grapalat" w:hAnsi="GHEA Grapalat"/>
          <w:sz w:val="24"/>
          <w:szCs w:val="24"/>
        </w:rPr>
      </w:pPr>
    </w:p>
    <w:p w:rsidR="005573EF" w:rsidRDefault="00B1681D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B1681D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3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253363">
        <w:rPr>
          <w:rFonts w:ascii="GHEA Grapalat" w:hAnsi="GHEA Grapalat"/>
          <w:sz w:val="24"/>
          <w:szCs w:val="24"/>
        </w:rPr>
        <w:t xml:space="preserve"> </w:t>
      </w:r>
      <w:r w:rsidRPr="00B1681D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08362" cy="2743200"/>
            <wp:effectExtent l="19050" t="0" r="20788" b="0"/>
            <wp:docPr id="14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573EF" w:rsidRDefault="00630298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630298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68405" cy="3105510"/>
            <wp:effectExtent l="19050" t="0" r="22645" b="0"/>
            <wp:docPr id="16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440E2C">
        <w:rPr>
          <w:rFonts w:ascii="GHEA Grapalat" w:hAnsi="GHEA Grapalat"/>
          <w:sz w:val="24"/>
          <w:szCs w:val="24"/>
        </w:rPr>
        <w:t xml:space="preserve">  </w:t>
      </w:r>
      <w:r w:rsidRPr="00630298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67135" cy="3105510"/>
            <wp:effectExtent l="19050" t="0" r="23915" b="0"/>
            <wp:docPr id="17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40DCD" w:rsidRDefault="00A40DCD" w:rsidP="00E305FB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Default="00013691" w:rsidP="00E305FB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Default="00013691" w:rsidP="00E305FB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Pr="00013691" w:rsidRDefault="00013691" w:rsidP="00E305FB">
      <w:pPr>
        <w:ind w:left="-360" w:firstLine="360"/>
        <w:rPr>
          <w:rFonts w:ascii="GHEA Grapalat" w:hAnsi="GHEA Grapalat"/>
          <w:sz w:val="4"/>
          <w:szCs w:val="4"/>
        </w:rPr>
      </w:pPr>
    </w:p>
    <w:p w:rsidR="005573EF" w:rsidRDefault="00630298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630298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68405" cy="2976113"/>
            <wp:effectExtent l="19050" t="0" r="22645" b="0"/>
            <wp:docPr id="18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013691">
        <w:rPr>
          <w:rFonts w:ascii="GHEA Grapalat" w:hAnsi="GHEA Grapalat"/>
          <w:sz w:val="24"/>
          <w:szCs w:val="24"/>
        </w:rPr>
        <w:t xml:space="preserve">   </w:t>
      </w:r>
      <w:r w:rsidRPr="00630298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13443" cy="2976113"/>
            <wp:effectExtent l="19050" t="0" r="15707" b="0"/>
            <wp:docPr id="19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E7DD6" w:rsidRDefault="00630298" w:rsidP="00013691">
      <w:pPr>
        <w:ind w:left="-360" w:firstLine="360"/>
        <w:rPr>
          <w:rFonts w:ascii="GHEA Grapalat" w:hAnsi="GHEA Grapalat"/>
          <w:sz w:val="16"/>
          <w:szCs w:val="16"/>
        </w:rPr>
      </w:pPr>
      <w:r w:rsidRPr="00630298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3094187" cy="3183147"/>
            <wp:effectExtent l="19050" t="0" r="10963" b="0"/>
            <wp:docPr id="2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615643" w:rsidRPr="00615643">
        <w:rPr>
          <w:rFonts w:ascii="GHEA Grapalat" w:hAnsi="GHEA Grapalat"/>
          <w:sz w:val="24"/>
          <w:szCs w:val="24"/>
        </w:rPr>
        <w:t xml:space="preserve"> </w:t>
      </w:r>
      <w:r w:rsidR="00917ADA" w:rsidRPr="00917ADA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3069949" cy="3174521"/>
            <wp:effectExtent l="19050" t="0" r="16151" b="6829"/>
            <wp:docPr id="2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917ADA" w:rsidRPr="00917ADA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3091648" cy="3165894"/>
            <wp:effectExtent l="19050" t="0" r="13502" b="0"/>
            <wp:docPr id="25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13691" w:rsidRDefault="00013691" w:rsidP="00013691">
      <w:pPr>
        <w:spacing w:after="0" w:line="240" w:lineRule="auto"/>
        <w:ind w:firstLine="720"/>
        <w:jc w:val="both"/>
        <w:rPr>
          <w:rFonts w:ascii="GHEA Grapalat" w:hAnsi="GHEA Grapalat"/>
          <w:sz w:val="16"/>
          <w:szCs w:val="16"/>
        </w:rPr>
      </w:pPr>
      <w:r w:rsidRPr="001E7DD6">
        <w:rPr>
          <w:rFonts w:ascii="GHEA Grapalat" w:hAnsi="GHEA Grapalat"/>
          <w:sz w:val="16"/>
          <w:szCs w:val="16"/>
        </w:rPr>
        <w:t>Տեղեկատվության աղբյուրներ են հանդիսացել</w:t>
      </w:r>
      <w:r>
        <w:rPr>
          <w:rFonts w:ascii="GHEA Grapalat" w:hAnsi="GHEA Grapalat"/>
          <w:sz w:val="16"/>
          <w:szCs w:val="16"/>
        </w:rPr>
        <w:t>`</w:t>
      </w:r>
    </w:p>
    <w:p w:rsidR="001C1675" w:rsidRDefault="00013691" w:rsidP="001C16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16"/>
          <w:szCs w:val="16"/>
        </w:rPr>
      </w:pPr>
      <w:r w:rsidRPr="001E7DD6">
        <w:rPr>
          <w:rFonts w:ascii="GHEA Grapalat" w:hAnsi="GHEA Grapalat" w:cs="Sylfaen"/>
          <w:sz w:val="16"/>
          <w:szCs w:val="16"/>
        </w:rPr>
        <w:t>Հայաստանի</w:t>
      </w:r>
      <w:r w:rsidRPr="001E7DD6">
        <w:rPr>
          <w:rFonts w:ascii="GHEA Grapalat" w:hAnsi="GHEA Grapalat"/>
          <w:sz w:val="16"/>
          <w:szCs w:val="16"/>
        </w:rPr>
        <w:t xml:space="preserve"> Հանրապետության ազգային վիճակագրական ծառայության ինտերնետային կայքի հրապարակումները` ՀՀ սոցիալ-տնտեսական վիճակը 2014-2017թթ. հունվար – </w:t>
      </w:r>
      <w:r>
        <w:rPr>
          <w:rFonts w:ascii="GHEA Grapalat" w:hAnsi="GHEA Grapalat"/>
          <w:sz w:val="16"/>
          <w:szCs w:val="16"/>
        </w:rPr>
        <w:t>ապրիլ</w:t>
      </w:r>
      <w:r w:rsidRPr="001E7DD6">
        <w:rPr>
          <w:rFonts w:ascii="GHEA Grapalat" w:hAnsi="GHEA Grapalat"/>
          <w:sz w:val="16"/>
          <w:szCs w:val="16"/>
        </w:rPr>
        <w:t>,</w:t>
      </w:r>
    </w:p>
    <w:p w:rsidR="001E7DD6" w:rsidRPr="001C1675" w:rsidRDefault="00013691" w:rsidP="001C16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16"/>
          <w:szCs w:val="16"/>
        </w:rPr>
      </w:pPr>
      <w:r w:rsidRPr="001C1675">
        <w:rPr>
          <w:rFonts w:ascii="GHEA Grapalat" w:hAnsi="GHEA Grapalat" w:cs="Sylfaen"/>
          <w:sz w:val="16"/>
          <w:szCs w:val="16"/>
        </w:rPr>
        <w:t>Հ</w:t>
      </w:r>
      <w:r w:rsidRPr="001C1675">
        <w:rPr>
          <w:rFonts w:ascii="GHEA Grapalat" w:hAnsi="GHEA Grapalat"/>
          <w:sz w:val="16"/>
          <w:szCs w:val="16"/>
        </w:rPr>
        <w:t>այաստանի Հանրապետության Կենտրոնական բանկի ինտերնետային կայքի վիճակագրության բաժնի հրապարակումները` ՀՀ բանկերի միջոցով ֆիզիկական անձանց անունով արտերկրից ստացված և ՀՀ–ից ֆիզիկական անձանց կողմից արտերկիր իրականացված փոխանցումներ` ամսեկան:</w:t>
      </w:r>
    </w:p>
    <w:sectPr w:rsidR="001E7DD6" w:rsidRPr="001C1675" w:rsidSect="00013691">
      <w:headerReference w:type="default" r:id="rId20"/>
      <w:pgSz w:w="15840" w:h="12240" w:orient="landscape"/>
      <w:pgMar w:top="450" w:right="270" w:bottom="270" w:left="5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4E8" w:rsidRDefault="007A74E8" w:rsidP="00AC2D9E">
      <w:pPr>
        <w:spacing w:after="0" w:line="240" w:lineRule="auto"/>
      </w:pPr>
      <w:r>
        <w:separator/>
      </w:r>
    </w:p>
  </w:endnote>
  <w:endnote w:type="continuationSeparator" w:id="1">
    <w:p w:rsidR="007A74E8" w:rsidRDefault="007A74E8" w:rsidP="00AC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4E8" w:rsidRDefault="007A74E8" w:rsidP="00AC2D9E">
      <w:pPr>
        <w:spacing w:after="0" w:line="240" w:lineRule="auto"/>
      </w:pPr>
      <w:r>
        <w:separator/>
      </w:r>
    </w:p>
  </w:footnote>
  <w:footnote w:type="continuationSeparator" w:id="1">
    <w:p w:rsidR="007A74E8" w:rsidRDefault="007A74E8" w:rsidP="00AC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CD" w:rsidRPr="00A40DCD" w:rsidRDefault="00A40DCD" w:rsidP="00A40DCD">
    <w:pPr>
      <w:pStyle w:val="Header"/>
      <w:jc w:val="right"/>
      <w:rPr>
        <w:rFonts w:ascii="GHEA Grapalat" w:hAnsi="GHEA Grapalat"/>
      </w:rPr>
    </w:pPr>
    <w:r w:rsidRPr="00A40DCD">
      <w:rPr>
        <w:rFonts w:ascii="GHEA Grapalat" w:hAnsi="GHEA Grapalat"/>
      </w:rPr>
      <w:t>Պատրաստված է Աժ բյուջետային գրասենյակի կողմից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42DF"/>
    <w:multiLevelType w:val="hybridMultilevel"/>
    <w:tmpl w:val="2EC24186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A59"/>
    <w:rsid w:val="00013691"/>
    <w:rsid w:val="0006054D"/>
    <w:rsid w:val="000650B8"/>
    <w:rsid w:val="000675D6"/>
    <w:rsid w:val="0008501D"/>
    <w:rsid w:val="000C120D"/>
    <w:rsid w:val="00102816"/>
    <w:rsid w:val="0012000E"/>
    <w:rsid w:val="001476E6"/>
    <w:rsid w:val="00160AE9"/>
    <w:rsid w:val="00194EC9"/>
    <w:rsid w:val="0019787B"/>
    <w:rsid w:val="001B0B81"/>
    <w:rsid w:val="001C1675"/>
    <w:rsid w:val="001D2D9A"/>
    <w:rsid w:val="001D6A45"/>
    <w:rsid w:val="001E262C"/>
    <w:rsid w:val="001E7DD6"/>
    <w:rsid w:val="001F2E6E"/>
    <w:rsid w:val="002003E2"/>
    <w:rsid w:val="00227F84"/>
    <w:rsid w:val="0025031E"/>
    <w:rsid w:val="00250649"/>
    <w:rsid w:val="00253363"/>
    <w:rsid w:val="00261BD4"/>
    <w:rsid w:val="00262AB4"/>
    <w:rsid w:val="00270CA5"/>
    <w:rsid w:val="00274F9A"/>
    <w:rsid w:val="002A0970"/>
    <w:rsid w:val="002C7775"/>
    <w:rsid w:val="002D2278"/>
    <w:rsid w:val="002E2575"/>
    <w:rsid w:val="002F2A59"/>
    <w:rsid w:val="003003CC"/>
    <w:rsid w:val="00304E24"/>
    <w:rsid w:val="003361C0"/>
    <w:rsid w:val="00345F90"/>
    <w:rsid w:val="003670A8"/>
    <w:rsid w:val="003A58E5"/>
    <w:rsid w:val="003C7B39"/>
    <w:rsid w:val="003D5370"/>
    <w:rsid w:val="003F4D60"/>
    <w:rsid w:val="00406E0A"/>
    <w:rsid w:val="00440E2C"/>
    <w:rsid w:val="00440FAF"/>
    <w:rsid w:val="00455B1D"/>
    <w:rsid w:val="00460B7D"/>
    <w:rsid w:val="00461DE6"/>
    <w:rsid w:val="00480140"/>
    <w:rsid w:val="00487DE4"/>
    <w:rsid w:val="004B3A6B"/>
    <w:rsid w:val="004F2B23"/>
    <w:rsid w:val="00513FFD"/>
    <w:rsid w:val="005244EF"/>
    <w:rsid w:val="005403D8"/>
    <w:rsid w:val="005573EF"/>
    <w:rsid w:val="005B1A4E"/>
    <w:rsid w:val="005C63AF"/>
    <w:rsid w:val="005D5AFC"/>
    <w:rsid w:val="005E0215"/>
    <w:rsid w:val="00604084"/>
    <w:rsid w:val="00615643"/>
    <w:rsid w:val="006204FF"/>
    <w:rsid w:val="00630298"/>
    <w:rsid w:val="006312BF"/>
    <w:rsid w:val="00636546"/>
    <w:rsid w:val="006378AC"/>
    <w:rsid w:val="006438C5"/>
    <w:rsid w:val="0064680E"/>
    <w:rsid w:val="006610FD"/>
    <w:rsid w:val="00672C70"/>
    <w:rsid w:val="00683871"/>
    <w:rsid w:val="006927B1"/>
    <w:rsid w:val="00697E19"/>
    <w:rsid w:val="006A61EA"/>
    <w:rsid w:val="006B5023"/>
    <w:rsid w:val="006B6EF3"/>
    <w:rsid w:val="006D02A5"/>
    <w:rsid w:val="006F698B"/>
    <w:rsid w:val="007061B2"/>
    <w:rsid w:val="00745186"/>
    <w:rsid w:val="00795E20"/>
    <w:rsid w:val="007A7000"/>
    <w:rsid w:val="007A74E8"/>
    <w:rsid w:val="007B37F5"/>
    <w:rsid w:val="007B4FE1"/>
    <w:rsid w:val="007C3361"/>
    <w:rsid w:val="007D095A"/>
    <w:rsid w:val="00803D24"/>
    <w:rsid w:val="0081180D"/>
    <w:rsid w:val="00811EF3"/>
    <w:rsid w:val="00816579"/>
    <w:rsid w:val="00841547"/>
    <w:rsid w:val="00867138"/>
    <w:rsid w:val="008A36E5"/>
    <w:rsid w:val="008A5AC2"/>
    <w:rsid w:val="008C2FD5"/>
    <w:rsid w:val="008C5278"/>
    <w:rsid w:val="008D0DC3"/>
    <w:rsid w:val="008D75B0"/>
    <w:rsid w:val="008F0973"/>
    <w:rsid w:val="008F6A42"/>
    <w:rsid w:val="008F7B11"/>
    <w:rsid w:val="00917363"/>
    <w:rsid w:val="00917ADA"/>
    <w:rsid w:val="00923985"/>
    <w:rsid w:val="00927F36"/>
    <w:rsid w:val="00934D90"/>
    <w:rsid w:val="009C6F99"/>
    <w:rsid w:val="00A045DD"/>
    <w:rsid w:val="00A124D7"/>
    <w:rsid w:val="00A36CD4"/>
    <w:rsid w:val="00A40DCD"/>
    <w:rsid w:val="00AC2D9E"/>
    <w:rsid w:val="00AC75A4"/>
    <w:rsid w:val="00AD6420"/>
    <w:rsid w:val="00B00B2A"/>
    <w:rsid w:val="00B049B0"/>
    <w:rsid w:val="00B1681D"/>
    <w:rsid w:val="00B55DF2"/>
    <w:rsid w:val="00B61515"/>
    <w:rsid w:val="00B619F8"/>
    <w:rsid w:val="00B61D27"/>
    <w:rsid w:val="00B63EB8"/>
    <w:rsid w:val="00B84B20"/>
    <w:rsid w:val="00B85680"/>
    <w:rsid w:val="00BD3858"/>
    <w:rsid w:val="00BD7408"/>
    <w:rsid w:val="00C017E6"/>
    <w:rsid w:val="00C05E66"/>
    <w:rsid w:val="00C132D9"/>
    <w:rsid w:val="00C1557D"/>
    <w:rsid w:val="00C26433"/>
    <w:rsid w:val="00C277E0"/>
    <w:rsid w:val="00C94D95"/>
    <w:rsid w:val="00CB051C"/>
    <w:rsid w:val="00CD2C49"/>
    <w:rsid w:val="00CF0868"/>
    <w:rsid w:val="00CF259D"/>
    <w:rsid w:val="00CF3581"/>
    <w:rsid w:val="00CF4D61"/>
    <w:rsid w:val="00D34BAE"/>
    <w:rsid w:val="00D50656"/>
    <w:rsid w:val="00D67B14"/>
    <w:rsid w:val="00D8356A"/>
    <w:rsid w:val="00DB46EB"/>
    <w:rsid w:val="00DD1BED"/>
    <w:rsid w:val="00E0173A"/>
    <w:rsid w:val="00E07AEA"/>
    <w:rsid w:val="00E267D1"/>
    <w:rsid w:val="00E305FB"/>
    <w:rsid w:val="00E311F1"/>
    <w:rsid w:val="00E572E5"/>
    <w:rsid w:val="00E7138C"/>
    <w:rsid w:val="00E7371B"/>
    <w:rsid w:val="00EC11CC"/>
    <w:rsid w:val="00ED0F8A"/>
    <w:rsid w:val="00EF7F1B"/>
    <w:rsid w:val="00F057EC"/>
    <w:rsid w:val="00F336DE"/>
    <w:rsid w:val="00F40D2C"/>
    <w:rsid w:val="00F51D59"/>
    <w:rsid w:val="00F63873"/>
    <w:rsid w:val="00FA1371"/>
    <w:rsid w:val="00FD223E"/>
    <w:rsid w:val="00FD35C3"/>
    <w:rsid w:val="00FD6352"/>
    <w:rsid w:val="00FE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D9E"/>
  </w:style>
  <w:style w:type="paragraph" w:styleId="Footer">
    <w:name w:val="footer"/>
    <w:basedOn w:val="Normal"/>
    <w:link w:val="Foot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D9E"/>
  </w:style>
  <w:style w:type="paragraph" w:styleId="ListParagraph">
    <w:name w:val="List Paragraph"/>
    <w:basedOn w:val="Normal"/>
    <w:uiPriority w:val="34"/>
    <w:qFormat/>
    <w:rsid w:val="001E7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April\Book1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April\Book1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April\Book1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April\Book1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April\Book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April\Book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April\Book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April\Book1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April\Book1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April\Book1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April\Book1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April\Book1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April\Book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Տնտեսական ակտիվության ցուցանիշը նախորդ տարվա նույն ժամանակահատվածի նկատմամբ (%)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Sheet1!$B$5</c:f>
              <c:strCache>
                <c:ptCount val="1"/>
                <c:pt idx="0">
                  <c:v>Տնտեսական ակտիվության ցուցանիշը (ՏԱՑ)</c:v>
                </c:pt>
              </c:strCache>
            </c:strRef>
          </c:tx>
          <c:dLbls>
            <c:dLbl>
              <c:idx val="0"/>
              <c:layout>
                <c:manualLayout>
                  <c:x val="-5.5555005309870856E-3"/>
                  <c:y val="2.3148148148148147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2.7952480782669482E-3"/>
                  <c:y val="-9.7222222222222335E-2"/>
                </c:manualLayout>
              </c:layout>
              <c:dLblPos val="inEnd"/>
              <c:showVal val="1"/>
            </c:dLbl>
            <c:dLbl>
              <c:idx val="2"/>
              <c:layout>
                <c:manualLayout>
                  <c:x val="0"/>
                  <c:y val="-8.7962962962963062E-2"/>
                </c:manualLayout>
              </c:layout>
              <c:dLblPos val="inEnd"/>
              <c:showVal val="1"/>
            </c:dLbl>
            <c:dLbl>
              <c:idx val="3"/>
              <c:layout>
                <c:manualLayout>
                  <c:x val="-2.7952480782669482E-3"/>
                  <c:y val="-0.11574074074074087"/>
                </c:manualLayout>
              </c:layout>
              <c:dLblPos val="inEnd"/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Sheet1!$C$4:$F$4</c:f>
              <c:strCache>
                <c:ptCount val="4"/>
                <c:pt idx="0">
                  <c:v>2014թ. հունվար-ապրիլ</c:v>
                </c:pt>
                <c:pt idx="1">
                  <c:v>2015թ. հունվար-ապրիլ</c:v>
                </c:pt>
                <c:pt idx="2">
                  <c:v>2016թ. հունվար-ապրիլ</c:v>
                </c:pt>
                <c:pt idx="3">
                  <c:v>2017թ. հունվար-ապրիլ</c:v>
                </c:pt>
              </c:strCache>
            </c:strRef>
          </c:cat>
          <c:val>
            <c:numRef>
              <c:f>Sheet1!$C$5:$F$5</c:f>
              <c:numCache>
                <c:formatCode>0.0</c:formatCode>
                <c:ptCount val="4"/>
                <c:pt idx="0" formatCode="General">
                  <c:v>104.5</c:v>
                </c:pt>
                <c:pt idx="1">
                  <c:v>103</c:v>
                </c:pt>
                <c:pt idx="2" formatCode="#,##0.0;[Red]#,##0.0">
                  <c:v>106.2</c:v>
                </c:pt>
                <c:pt idx="3">
                  <c:v>105.7</c:v>
                </c:pt>
              </c:numCache>
            </c:numRef>
          </c:val>
        </c:ser>
        <c:gapWidth val="75"/>
        <c:overlap val="40"/>
        <c:axId val="62784256"/>
        <c:axId val="62907520"/>
      </c:barChart>
      <c:catAx>
        <c:axId val="62784256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62907520"/>
        <c:crosses val="autoZero"/>
        <c:auto val="1"/>
        <c:lblAlgn val="ctr"/>
        <c:lblOffset val="100"/>
      </c:catAx>
      <c:valAx>
        <c:axId val="629075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62784256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3.0281072075671062E-2"/>
          <c:y val="0.2264073978373807"/>
          <c:w val="0.93943785584865758"/>
          <c:h val="0.61921573542402464"/>
        </c:manualLayout>
      </c:layout>
      <c:barChart>
        <c:barDir val="col"/>
        <c:grouping val="clustered"/>
        <c:ser>
          <c:idx val="0"/>
          <c:order val="0"/>
          <c:tx>
            <c:strRef>
              <c:f>Sheet1!$B$199</c:f>
              <c:strCache>
                <c:ptCount val="1"/>
                <c:pt idx="0">
                  <c:v>Աշխատանք փնտրողներ, ընդամենը ժամանակաշրջանի վերջին ամսվա դրությամբ, մարդ</c:v>
                </c:pt>
              </c:strCache>
            </c:strRef>
          </c:tx>
          <c:dLbls>
            <c:dLbl>
              <c:idx val="0"/>
              <c:layout>
                <c:manualLayout>
                  <c:x val="-5.5056494683038311E-3"/>
                  <c:y val="-1.7069244346568833E-2"/>
                </c:manualLayout>
              </c:layout>
              <c:showVal val="1"/>
            </c:dLbl>
            <c:dLbl>
              <c:idx val="1"/>
              <c:layout>
                <c:manualLayout>
                  <c:x val="-2.2022597873215314E-2"/>
                  <c:y val="4.2673110866422084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Sheet1!$C$198:$F$198</c:f>
              <c:strCache>
                <c:ptCount val="4"/>
                <c:pt idx="0">
                  <c:v>2014թ. հունվար-ապրիլ</c:v>
                </c:pt>
                <c:pt idx="1">
                  <c:v>2015թ. հունվար-ապրիլ</c:v>
                </c:pt>
                <c:pt idx="2">
                  <c:v>2016թ. հունվար-ապրիլ</c:v>
                </c:pt>
                <c:pt idx="3">
                  <c:v>2017թ. հունվար-ապրիլ</c:v>
                </c:pt>
              </c:strCache>
            </c:strRef>
          </c:cat>
          <c:val>
            <c:numRef>
              <c:f>Sheet1!$C$199:$F$199</c:f>
              <c:numCache>
                <c:formatCode>#,##0.0;[Red]#,##0.0</c:formatCode>
                <c:ptCount val="4"/>
                <c:pt idx="0">
                  <c:v>64400</c:v>
                </c:pt>
                <c:pt idx="1">
                  <c:v>81590</c:v>
                </c:pt>
                <c:pt idx="2">
                  <c:v>94830</c:v>
                </c:pt>
                <c:pt idx="3">
                  <c:v>95418</c:v>
                </c:pt>
              </c:numCache>
            </c:numRef>
          </c:val>
        </c:ser>
        <c:ser>
          <c:idx val="1"/>
          <c:order val="1"/>
          <c:tx>
            <c:strRef>
              <c:f>Sheet1!$B$200</c:f>
              <c:strCache>
                <c:ptCount val="1"/>
                <c:pt idx="0">
                  <c:v>Պաշտոնապես գրանցված գործազուրկների միջին ամսական թվաքանակը, ընդամենը ժամանակաշրջանի վերջին ամսվա դրությամբ, մարդ</c:v>
                </c:pt>
              </c:strCache>
            </c:strRef>
          </c:tx>
          <c:dLbls>
            <c:dLbl>
              <c:idx val="0"/>
              <c:layout>
                <c:manualLayout>
                  <c:x val="1.6516948404911472E-2"/>
                  <c:y val="1.7069244346568833E-2"/>
                </c:manualLayout>
              </c:layout>
              <c:showVal val="1"/>
            </c:dLbl>
            <c:dLbl>
              <c:idx val="1"/>
              <c:layout>
                <c:manualLayout>
                  <c:x val="2.477542260736721E-2"/>
                  <c:y val="1.2801933259926623E-2"/>
                </c:manualLayout>
              </c:layout>
              <c:showVal val="1"/>
            </c:dLbl>
            <c:dLbl>
              <c:idx val="2"/>
              <c:layout>
                <c:manualLayout>
                  <c:x val="1.92697731390634E-2"/>
                  <c:y val="1.2801933259926623E-2"/>
                </c:manualLayout>
              </c:layout>
              <c:showVal val="1"/>
            </c:dLbl>
            <c:dLbl>
              <c:idx val="3"/>
              <c:layout>
                <c:manualLayout>
                  <c:x val="1.92697731390634E-2"/>
                  <c:y val="4.2673110866422084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Sheet1!$C$198:$F$198</c:f>
              <c:strCache>
                <c:ptCount val="4"/>
                <c:pt idx="0">
                  <c:v>2014թ. հունվար-ապրիլ</c:v>
                </c:pt>
                <c:pt idx="1">
                  <c:v>2015թ. հունվար-ապրիլ</c:v>
                </c:pt>
                <c:pt idx="2">
                  <c:v>2016թ. հունվար-ապրիլ</c:v>
                </c:pt>
                <c:pt idx="3">
                  <c:v>2017թ. հունվար-ապրիլ</c:v>
                </c:pt>
              </c:strCache>
            </c:strRef>
          </c:cat>
          <c:val>
            <c:numRef>
              <c:f>Sheet1!$C$200:$F$200</c:f>
              <c:numCache>
                <c:formatCode>#,##0.0;[Red]#,##0.0</c:formatCode>
                <c:ptCount val="4"/>
                <c:pt idx="0">
                  <c:v>61000</c:v>
                </c:pt>
                <c:pt idx="1">
                  <c:v>74246</c:v>
                </c:pt>
                <c:pt idx="2">
                  <c:v>80693</c:v>
                </c:pt>
                <c:pt idx="3">
                  <c:v>79716</c:v>
                </c:pt>
              </c:numCache>
            </c:numRef>
          </c:val>
        </c:ser>
        <c:dLbls>
          <c:showVal val="1"/>
        </c:dLbls>
        <c:overlap val="-25"/>
        <c:axId val="85886080"/>
        <c:axId val="85887616"/>
      </c:barChart>
      <c:catAx>
        <c:axId val="85886080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85887616"/>
        <c:crosses val="autoZero"/>
        <c:auto val="1"/>
        <c:lblAlgn val="ctr"/>
        <c:lblOffset val="100"/>
      </c:catAx>
      <c:valAx>
        <c:axId val="85887616"/>
        <c:scaling>
          <c:orientation val="minMax"/>
        </c:scaling>
        <c:delete val="1"/>
        <c:axPos val="l"/>
        <c:numFmt formatCode="#,##0.0;[Red]#,##0.0" sourceLinked="1"/>
        <c:tickLblPos val="nextTo"/>
        <c:crossAx val="858860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1511513201745433E-2"/>
          <c:y val="2.5603866519853274E-2"/>
          <c:w val="0.90596567465990163"/>
          <c:h val="0.19803784332113741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800"/>
              <a:t>Միջին ամսական անվանական աշխատավարձը ժամանակաշրջանի վերջին ամսվա դրությամբ,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3.0600867864269743E-2"/>
          <c:y val="0.14642857142857138"/>
          <c:w val="0.93879826427146063"/>
          <c:h val="0.75763248343957079"/>
        </c:manualLayout>
      </c:layout>
      <c:barChart>
        <c:barDir val="col"/>
        <c:grouping val="clustered"/>
        <c:ser>
          <c:idx val="0"/>
          <c:order val="0"/>
          <c:tx>
            <c:strRef>
              <c:f>Sheet1!$B$219</c:f>
              <c:strCache>
                <c:ptCount val="1"/>
                <c:pt idx="0">
                  <c:v>Միջին ամսական անվանական աշխատավարձը ժամանակաշրջանի վերջին ամսվա դրությամբ, դրամ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Sheet1!$C$218:$F$218</c:f>
              <c:strCache>
                <c:ptCount val="4"/>
                <c:pt idx="0">
                  <c:v>2014թ. հունվար-ապրիլ</c:v>
                </c:pt>
                <c:pt idx="1">
                  <c:v>2015թ. հունվար-ապրիլ</c:v>
                </c:pt>
                <c:pt idx="2">
                  <c:v>2016թ. հունվար-ապրիլ</c:v>
                </c:pt>
                <c:pt idx="3">
                  <c:v>2017թ. հունվար-ապրիլ</c:v>
                </c:pt>
              </c:strCache>
            </c:strRef>
          </c:cat>
          <c:val>
            <c:numRef>
              <c:f>Sheet1!$C$219:$F$219</c:f>
              <c:numCache>
                <c:formatCode>#,##0.0</c:formatCode>
                <c:ptCount val="4"/>
                <c:pt idx="0">
                  <c:v>161632</c:v>
                </c:pt>
                <c:pt idx="1">
                  <c:v>181927</c:v>
                </c:pt>
                <c:pt idx="2">
                  <c:v>187241</c:v>
                </c:pt>
                <c:pt idx="3">
                  <c:v>193364</c:v>
                </c:pt>
              </c:numCache>
            </c:numRef>
          </c:val>
        </c:ser>
        <c:dLbls>
          <c:showVal val="1"/>
        </c:dLbls>
        <c:overlap val="-25"/>
        <c:axId val="87832832"/>
        <c:axId val="87859200"/>
      </c:barChart>
      <c:catAx>
        <c:axId val="87832832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87859200"/>
        <c:crosses val="autoZero"/>
        <c:auto val="1"/>
        <c:lblAlgn val="ctr"/>
        <c:lblOffset val="100"/>
      </c:catAx>
      <c:valAx>
        <c:axId val="87859200"/>
        <c:scaling>
          <c:orientation val="minMax"/>
        </c:scaling>
        <c:delete val="1"/>
        <c:axPos val="l"/>
        <c:numFmt formatCode="#,##0.0" sourceLinked="1"/>
        <c:tickLblPos val="nextTo"/>
        <c:crossAx val="87832832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700"/>
              <a:t>ՀՀ բանկերի միջոցով ֆիզիկական անձանց անունով արտերկրից ստացված և ՀՀ-ից ֆիզիկական անձանց կողմից արտերկիր իրականացված փոխանցումներ (հազ. դոլար)</a:t>
            </a:r>
          </a:p>
        </c:rich>
      </c:tx>
    </c:title>
    <c:plotArea>
      <c:layout>
        <c:manualLayout>
          <c:layoutTarget val="inner"/>
          <c:xMode val="edge"/>
          <c:yMode val="edge"/>
          <c:x val="1.9480281857108532E-2"/>
          <c:y val="0.32296619172603447"/>
          <c:w val="0.93877625702051648"/>
          <c:h val="0.54027465316835432"/>
        </c:manualLayout>
      </c:layout>
      <c:barChart>
        <c:barDir val="col"/>
        <c:grouping val="clustered"/>
        <c:ser>
          <c:idx val="0"/>
          <c:order val="0"/>
          <c:tx>
            <c:strRef>
              <c:f>Sheet1!$C$238</c:f>
              <c:strCache>
                <c:ptCount val="1"/>
                <c:pt idx="0">
                  <c:v>2014թ. հունվար-ապրիլ</c:v>
                </c:pt>
              </c:strCache>
            </c:strRef>
          </c:tx>
          <c:dLbls>
            <c:dLbl>
              <c:idx val="0"/>
              <c:layout>
                <c:manualLayout>
                  <c:x val="-1.1131589632633453E-2"/>
                  <c:y val="1.5873015873015879E-2"/>
                </c:manualLayout>
              </c:layout>
              <c:showVal val="1"/>
            </c:dLbl>
            <c:dLbl>
              <c:idx val="1"/>
              <c:layout>
                <c:manualLayout>
                  <c:x val="-1.6697384448950168E-2"/>
                  <c:y val="7.9365079365078684E-3"/>
                </c:manualLayout>
              </c:layout>
              <c:showVal val="1"/>
            </c:dLbl>
            <c:dLbl>
              <c:idx val="2"/>
              <c:layout>
                <c:manualLayout>
                  <c:x val="-1.1131589632633453E-2"/>
                  <c:y val="7.9365079365079413E-3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Sheet1!$B$239:$B$241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Sheet1!$C$239:$C$241</c:f>
              <c:numCache>
                <c:formatCode>#,##0</c:formatCode>
                <c:ptCount val="3"/>
                <c:pt idx="0">
                  <c:v>588089</c:v>
                </c:pt>
                <c:pt idx="1">
                  <c:v>275209</c:v>
                </c:pt>
                <c:pt idx="2">
                  <c:v>312879</c:v>
                </c:pt>
              </c:numCache>
            </c:numRef>
          </c:val>
        </c:ser>
        <c:ser>
          <c:idx val="1"/>
          <c:order val="1"/>
          <c:tx>
            <c:strRef>
              <c:f>Sheet1!$D$238</c:f>
              <c:strCache>
                <c:ptCount val="1"/>
                <c:pt idx="0">
                  <c:v>2015թ. հունվար-ապրիլ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5873015873015879E-2"/>
                </c:manualLayout>
              </c:layout>
              <c:showVal val="1"/>
            </c:dLbl>
            <c:dLbl>
              <c:idx val="1"/>
              <c:layout>
                <c:manualLayout>
                  <c:x val="2.7828974081583616E-3"/>
                  <c:y val="7.9365079365079413E-3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Sheet1!$B$239:$B$241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Sheet1!$D$239:$D$241</c:f>
              <c:numCache>
                <c:formatCode>#,##0</c:formatCode>
                <c:ptCount val="3"/>
                <c:pt idx="0">
                  <c:v>387555</c:v>
                </c:pt>
                <c:pt idx="1">
                  <c:v>225106</c:v>
                </c:pt>
                <c:pt idx="2">
                  <c:v>162449</c:v>
                </c:pt>
              </c:numCache>
            </c:numRef>
          </c:val>
        </c:ser>
        <c:ser>
          <c:idx val="2"/>
          <c:order val="2"/>
          <c:tx>
            <c:strRef>
              <c:f>Sheet1!$E$238</c:f>
              <c:strCache>
                <c:ptCount val="1"/>
                <c:pt idx="0">
                  <c:v>2016թ. հունվար-ապրիլ</c:v>
                </c:pt>
              </c:strCache>
            </c:strRef>
          </c:tx>
          <c:dLbls>
            <c:dLbl>
              <c:idx val="0"/>
              <c:layout>
                <c:manualLayout>
                  <c:x val="5.5655756905365495E-3"/>
                  <c:y val="1.1904761904761984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7.9365079365079413E-3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Sheet1!$B$239:$B$241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Sheet1!$E$239:$E$241</c:f>
              <c:numCache>
                <c:formatCode>#,##0</c:formatCode>
                <c:ptCount val="3"/>
                <c:pt idx="0">
                  <c:v>377692</c:v>
                </c:pt>
                <c:pt idx="1">
                  <c:v>246432</c:v>
                </c:pt>
                <c:pt idx="2">
                  <c:v>131260</c:v>
                </c:pt>
              </c:numCache>
            </c:numRef>
          </c:val>
        </c:ser>
        <c:ser>
          <c:idx val="3"/>
          <c:order val="3"/>
          <c:tx>
            <c:strRef>
              <c:f>Sheet1!$F$238</c:f>
              <c:strCache>
                <c:ptCount val="1"/>
                <c:pt idx="0">
                  <c:v>2017թ. հունվար-ապրիլ</c:v>
                </c:pt>
              </c:strCache>
            </c:strRef>
          </c:tx>
          <c:dLbls>
            <c:dLbl>
              <c:idx val="0"/>
              <c:layout>
                <c:manualLayout>
                  <c:x val="8.3486922244750839E-3"/>
                  <c:y val="7.9365079365079413E-3"/>
                </c:manualLayout>
              </c:layout>
              <c:showVal val="1"/>
            </c:dLbl>
            <c:dLbl>
              <c:idx val="1"/>
              <c:layout>
                <c:manualLayout>
                  <c:x val="1.6697384448950168E-2"/>
                  <c:y val="1.5873015873015945E-2"/>
                </c:manualLayout>
              </c:layout>
              <c:showVal val="1"/>
            </c:dLbl>
            <c:dLbl>
              <c:idx val="2"/>
              <c:layout>
                <c:manualLayout>
                  <c:x val="5.5657948163167163E-3"/>
                  <c:y val="0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Sheet1!$B$239:$B$241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Sheet1!$F$239:$F$241</c:f>
              <c:numCache>
                <c:formatCode>#,##0</c:formatCode>
                <c:ptCount val="3"/>
                <c:pt idx="0">
                  <c:v>422247</c:v>
                </c:pt>
                <c:pt idx="1">
                  <c:v>269782</c:v>
                </c:pt>
                <c:pt idx="2">
                  <c:v>152464</c:v>
                </c:pt>
              </c:numCache>
            </c:numRef>
          </c:val>
        </c:ser>
        <c:dLbls>
          <c:showVal val="1"/>
        </c:dLbls>
        <c:overlap val="-25"/>
        <c:axId val="94006272"/>
        <c:axId val="94536448"/>
      </c:barChart>
      <c:catAx>
        <c:axId val="940062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94536448"/>
        <c:crosses val="autoZero"/>
        <c:auto val="1"/>
        <c:lblAlgn val="ctr"/>
        <c:lblOffset val="100"/>
      </c:catAx>
      <c:valAx>
        <c:axId val="94536448"/>
        <c:scaling>
          <c:orientation val="minMax"/>
        </c:scaling>
        <c:delete val="1"/>
        <c:axPos val="l"/>
        <c:numFmt formatCode="#,##0" sourceLinked="1"/>
        <c:tickLblPos val="nextTo"/>
        <c:crossAx val="9400627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5807367841407313E-2"/>
          <c:y val="0.20178571428571421"/>
          <c:w val="0.90560214778324644"/>
          <c:h val="9.8903262092238542E-2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700"/>
              <a:t>ՀՀ բանկերի միջոցով ֆիզիկական անձանց անունով արտերկրից ստացված և ՀՀ-ից ֆիզիկական անձանց կողմից արտերկիր իրականացված փոխանցումներ (մլն ՀՀ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3.0600867864269743E-2"/>
          <c:y val="0.32502707941967496"/>
          <c:w val="0.93879826427146063"/>
          <c:h val="0.55393654185508312"/>
        </c:manualLayout>
      </c:layout>
      <c:barChart>
        <c:barDir val="col"/>
        <c:grouping val="clustered"/>
        <c:ser>
          <c:idx val="0"/>
          <c:order val="0"/>
          <c:tx>
            <c:strRef>
              <c:f>Sheet1!$C$259</c:f>
              <c:strCache>
                <c:ptCount val="1"/>
                <c:pt idx="0">
                  <c:v>2014թ. հունվար-ապրիլ</c:v>
                </c:pt>
              </c:strCache>
            </c:strRef>
          </c:tx>
          <c:dLbls>
            <c:dLbl>
              <c:idx val="2"/>
              <c:layout>
                <c:manualLayout>
                  <c:x val="-2.7818970785699775E-3"/>
                  <c:y val="8.5099568169948042E-3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Sheet1!$B$260:$B$262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Sheet1!$C$260:$C$262</c:f>
              <c:numCache>
                <c:formatCode>#,##0</c:formatCode>
                <c:ptCount val="3"/>
                <c:pt idx="0">
                  <c:v>242363</c:v>
                </c:pt>
                <c:pt idx="1">
                  <c:v>113445</c:v>
                </c:pt>
                <c:pt idx="2">
                  <c:v>128919</c:v>
                </c:pt>
              </c:numCache>
            </c:numRef>
          </c:val>
        </c:ser>
        <c:ser>
          <c:idx val="1"/>
          <c:order val="1"/>
          <c:tx>
            <c:strRef>
              <c:f>Sheet1!$D$259</c:f>
              <c:strCache>
                <c:ptCount val="1"/>
                <c:pt idx="0">
                  <c:v>2015թ. հունվար-ապրիլ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127489204248680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7019913633989438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Sheet1!$B$260:$B$262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Sheet1!$D$260:$D$262</c:f>
              <c:numCache>
                <c:formatCode>#,##0</c:formatCode>
                <c:ptCount val="3"/>
                <c:pt idx="0">
                  <c:v>184641</c:v>
                </c:pt>
                <c:pt idx="1">
                  <c:v>107299</c:v>
                </c:pt>
                <c:pt idx="2">
                  <c:v>77342</c:v>
                </c:pt>
              </c:numCache>
            </c:numRef>
          </c:val>
        </c:ser>
        <c:ser>
          <c:idx val="2"/>
          <c:order val="2"/>
          <c:tx>
            <c:strRef>
              <c:f>Sheet1!$E$259</c:f>
              <c:strCache>
                <c:ptCount val="1"/>
                <c:pt idx="0">
                  <c:v>2016թ. հունվար-ապրիլ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8.5099568169947262E-3"/>
                </c:manualLayout>
              </c:layout>
              <c:showVal val="1"/>
            </c:dLbl>
            <c:dLbl>
              <c:idx val="2"/>
              <c:layout>
                <c:manualLayout>
                  <c:x val="2.781897078570079E-3"/>
                  <c:y val="8.5099568169947262E-3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Sheet1!$B$260:$B$262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Sheet1!$E$260:$E$262</c:f>
              <c:numCache>
                <c:formatCode>#,##0</c:formatCode>
                <c:ptCount val="3"/>
                <c:pt idx="0">
                  <c:v>183889</c:v>
                </c:pt>
                <c:pt idx="1">
                  <c:v>119987</c:v>
                </c:pt>
                <c:pt idx="2">
                  <c:v>63902</c:v>
                </c:pt>
              </c:numCache>
            </c:numRef>
          </c:val>
        </c:ser>
        <c:ser>
          <c:idx val="3"/>
          <c:order val="3"/>
          <c:tx>
            <c:strRef>
              <c:f>Sheet1!$F$259</c:f>
              <c:strCache>
                <c:ptCount val="1"/>
                <c:pt idx="0">
                  <c:v>2017թ. հունվար-ապրիլ</c:v>
                </c:pt>
              </c:strCache>
            </c:strRef>
          </c:tx>
          <c:dLbls>
            <c:dLbl>
              <c:idx val="1"/>
              <c:layout>
                <c:manualLayout>
                  <c:x val="1.3909485392849879E-2"/>
                  <c:y val="-7.8007036345178016E-17"/>
                </c:manualLayout>
              </c:layout>
              <c:showVal val="1"/>
            </c:dLbl>
            <c:dLbl>
              <c:idx val="2"/>
              <c:layout>
                <c:manualLayout>
                  <c:x val="1.1127588314279803E-2"/>
                  <c:y val="7.8007036345178016E-17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Sheet1!$B$260:$B$262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Sheet1!$F$260:$F$262</c:f>
              <c:numCache>
                <c:formatCode>#,##0</c:formatCode>
                <c:ptCount val="3"/>
                <c:pt idx="0">
                  <c:v>205025</c:v>
                </c:pt>
                <c:pt idx="1">
                  <c:v>131010</c:v>
                </c:pt>
                <c:pt idx="2">
                  <c:v>74015</c:v>
                </c:pt>
              </c:numCache>
            </c:numRef>
          </c:val>
        </c:ser>
        <c:dLbls>
          <c:showVal val="1"/>
        </c:dLbls>
        <c:overlap val="-25"/>
        <c:axId val="94683520"/>
        <c:axId val="94685056"/>
      </c:barChart>
      <c:catAx>
        <c:axId val="946835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94685056"/>
        <c:crosses val="autoZero"/>
        <c:auto val="1"/>
        <c:lblAlgn val="ctr"/>
        <c:lblOffset val="100"/>
      </c:catAx>
      <c:valAx>
        <c:axId val="94685056"/>
        <c:scaling>
          <c:orientation val="minMax"/>
        </c:scaling>
        <c:delete val="1"/>
        <c:axPos val="l"/>
        <c:numFmt formatCode="#,##0" sourceLinked="1"/>
        <c:tickLblPos val="nextTo"/>
        <c:crossAx val="9468352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9999870619164909E-2"/>
          <c:y val="0.19229670987089273"/>
          <c:w val="0.9"/>
          <c:h val="0.10279022721919746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800"/>
              <a:t>Արդյունաբերական արտադրանքի, գյուղատնտեսության համախառն արտադրանքի և իրականացված շինարարության ծավալները (ընթացիկ գներով, մլն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2.9808167267133045E-2"/>
          <c:y val="0.38142351997666996"/>
          <c:w val="0.9403836654657336"/>
          <c:h val="0.44688684747739882"/>
        </c:manualLayout>
      </c:layout>
      <c:barChart>
        <c:barDir val="col"/>
        <c:grouping val="clustered"/>
        <c:ser>
          <c:idx val="0"/>
          <c:order val="0"/>
          <c:tx>
            <c:strRef>
              <c:f>Sheet1!$C$24</c:f>
              <c:strCache>
                <c:ptCount val="1"/>
                <c:pt idx="0">
                  <c:v>2014թ. հունվար-ապրիլ</c:v>
                </c:pt>
              </c:strCache>
            </c:strRef>
          </c:tx>
          <c:dLbls>
            <c:dLbl>
              <c:idx val="0"/>
              <c:layout>
                <c:manualLayout>
                  <c:x val="-2.9808167267133045E-2"/>
                  <c:y val="1.8518518518518528E-2"/>
                </c:manualLayout>
              </c:layout>
              <c:showVal val="1"/>
            </c:dLbl>
            <c:dLbl>
              <c:idx val="1"/>
              <c:layout>
                <c:manualLayout>
                  <c:x val="-2.9808167267133045E-2"/>
                  <c:y val="1.8518518518518528E-2"/>
                </c:manualLayout>
              </c:layout>
              <c:showVal val="1"/>
            </c:dLbl>
            <c:dLbl>
              <c:idx val="2"/>
              <c:layout>
                <c:manualLayout>
                  <c:x val="-2.1678667103369492E-2"/>
                  <c:y val="1.8518518518518615E-2"/>
                </c:manualLayout>
              </c:layout>
              <c:showVal val="1"/>
            </c:dLbl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Sheet1!$B$25:$B$27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Sheet1!$C$25:$C$27</c:f>
              <c:numCache>
                <c:formatCode>#,##0.0</c:formatCode>
                <c:ptCount val="3"/>
                <c:pt idx="0">
                  <c:v>369760.4</c:v>
                </c:pt>
                <c:pt idx="1">
                  <c:v>111290.8</c:v>
                </c:pt>
                <c:pt idx="2">
                  <c:v>61782.8</c:v>
                </c:pt>
              </c:numCache>
            </c:numRef>
          </c:val>
        </c:ser>
        <c:ser>
          <c:idx val="1"/>
          <c:order val="1"/>
          <c:tx>
            <c:strRef>
              <c:f>Sheet1!$D$24</c:f>
              <c:strCache>
                <c:ptCount val="1"/>
                <c:pt idx="0">
                  <c:v>2015թ. հունվար-ապրիլ</c:v>
                </c:pt>
              </c:strCache>
            </c:strRef>
          </c:tx>
          <c:dLbls>
            <c:dLbl>
              <c:idx val="0"/>
              <c:layout>
                <c:manualLayout>
                  <c:x val="-2.7098333879211865E-3"/>
                  <c:y val="1.8518518518518528E-2"/>
                </c:manualLayout>
              </c:layout>
              <c:showVal val="1"/>
            </c:dLbl>
            <c:dLbl>
              <c:idx val="1"/>
              <c:layout>
                <c:manualLayout>
                  <c:x val="-1.3549166939605971E-2"/>
                  <c:y val="-9.2592592592593576E-3"/>
                </c:manualLayout>
              </c:layout>
              <c:showVal val="1"/>
            </c:dLbl>
            <c:dLbl>
              <c:idx val="2"/>
              <c:layout>
                <c:manualLayout>
                  <c:x val="-8.1295001637634538E-3"/>
                  <c:y val="-4.629629629629632E-3"/>
                </c:manualLayout>
              </c:layout>
              <c:showVal val="1"/>
            </c:dLbl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Sheet1!$B$25:$B$27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Sheet1!$D$25:$D$27</c:f>
              <c:numCache>
                <c:formatCode>#,##0.0</c:formatCode>
                <c:ptCount val="3"/>
                <c:pt idx="0">
                  <c:v>393105.2</c:v>
                </c:pt>
                <c:pt idx="1">
                  <c:v>120876.4</c:v>
                </c:pt>
                <c:pt idx="2">
                  <c:v>66248.800000000003</c:v>
                </c:pt>
              </c:numCache>
            </c:numRef>
          </c:val>
        </c:ser>
        <c:ser>
          <c:idx val="2"/>
          <c:order val="2"/>
          <c:tx>
            <c:strRef>
              <c:f>Sheet1!$E$24</c:f>
              <c:strCache>
                <c:ptCount val="1"/>
                <c:pt idx="0">
                  <c:v>2016թ. հունվար-ապրիլ</c:v>
                </c:pt>
              </c:strCache>
            </c:strRef>
          </c:tx>
          <c:dLbls>
            <c:dLbl>
              <c:idx val="0"/>
              <c:layout>
                <c:manualLayout>
                  <c:x val="-2.7098333879211865E-3"/>
                  <c:y val="-9.2592592592592692E-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8518518518518448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8518518518518448E-2"/>
                </c:manualLayout>
              </c:layout>
              <c:showVal val="1"/>
            </c:dLbl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Sheet1!$B$25:$B$27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Sheet1!$E$25:$E$27</c:f>
              <c:numCache>
                <c:formatCode>#,##0.0</c:formatCode>
                <c:ptCount val="3"/>
                <c:pt idx="0">
                  <c:v>420988</c:v>
                </c:pt>
                <c:pt idx="1">
                  <c:v>117710.1</c:v>
                </c:pt>
                <c:pt idx="2">
                  <c:v>61884.6</c:v>
                </c:pt>
              </c:numCache>
            </c:numRef>
          </c:val>
        </c:ser>
        <c:ser>
          <c:idx val="3"/>
          <c:order val="3"/>
          <c:tx>
            <c:strRef>
              <c:f>Sheet1!$F$24</c:f>
              <c:strCache>
                <c:ptCount val="1"/>
                <c:pt idx="0">
                  <c:v>2017թ. հունվար-ապրիլ</c:v>
                </c:pt>
              </c:strCache>
            </c:strRef>
          </c:tx>
          <c:dLbls>
            <c:dLbl>
              <c:idx val="0"/>
              <c:layout>
                <c:manualLayout>
                  <c:x val="2.167866710336949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1678667103369492E-2"/>
                  <c:y val="9.2592592592593576E-3"/>
                </c:manualLayout>
              </c:layout>
              <c:showVal val="1"/>
            </c:dLbl>
            <c:dLbl>
              <c:idx val="2"/>
              <c:layout>
                <c:manualLayout>
                  <c:x val="2.4388500491290648E-2"/>
                  <c:y val="4.629629629629632E-3"/>
                </c:manualLayout>
              </c:layout>
              <c:showVal val="1"/>
            </c:dLbl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Sheet1!$B$25:$B$27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Sheet1!$F$25:$F$27</c:f>
              <c:numCache>
                <c:formatCode>#,##0.0</c:formatCode>
                <c:ptCount val="3"/>
                <c:pt idx="0">
                  <c:v>485494.2</c:v>
                </c:pt>
                <c:pt idx="1">
                  <c:v>114269.6</c:v>
                </c:pt>
                <c:pt idx="2">
                  <c:v>52858.8</c:v>
                </c:pt>
              </c:numCache>
            </c:numRef>
          </c:val>
        </c:ser>
        <c:dLbls>
          <c:showVal val="1"/>
        </c:dLbls>
        <c:overlap val="-25"/>
        <c:axId val="68729088"/>
        <c:axId val="69117056"/>
      </c:barChart>
      <c:catAx>
        <c:axId val="6872908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69117056"/>
        <c:crosses val="autoZero"/>
        <c:auto val="1"/>
        <c:lblAlgn val="ctr"/>
        <c:lblOffset val="100"/>
      </c:catAx>
      <c:valAx>
        <c:axId val="69117056"/>
        <c:scaling>
          <c:orientation val="minMax"/>
        </c:scaling>
        <c:delete val="1"/>
        <c:axPos val="l"/>
        <c:numFmt formatCode="#,##0.0" sourceLinked="1"/>
        <c:tickLblPos val="nextTo"/>
        <c:crossAx val="687290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2730146469695204E-2"/>
          <c:y val="0.19375000000000001"/>
          <c:w val="0.81828049336037512"/>
          <c:h val="0.13812335958005251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Առևտրի շրջանառություն և այլ ծառայություններ (ընթացիկ գներով, մլն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3.0747728860936407E-2"/>
          <c:y val="0.27517351997666972"/>
          <c:w val="0.93850454227812752"/>
          <c:h val="0.58842228054826429"/>
        </c:manualLayout>
      </c:layout>
      <c:barChart>
        <c:barDir val="col"/>
        <c:grouping val="clustered"/>
        <c:ser>
          <c:idx val="0"/>
          <c:order val="0"/>
          <c:tx>
            <c:strRef>
              <c:f>Sheet1!$C$46</c:f>
              <c:strCache>
                <c:ptCount val="1"/>
                <c:pt idx="0">
                  <c:v>2014թ. հունվար-ապրիլ</c:v>
                </c:pt>
              </c:strCache>
            </c:strRef>
          </c:tx>
          <c:dLbls>
            <c:dLbl>
              <c:idx val="0"/>
              <c:layout>
                <c:manualLayout>
                  <c:x val="-4.4723969252271185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2.7952480782669473E-2"/>
                  <c:y val="1.851851851851852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Sheet1!$B$47:$B$48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Sheet1!$C$47:$C$48</c:f>
              <c:numCache>
                <c:formatCode>#,##0.0</c:formatCode>
                <c:ptCount val="2"/>
                <c:pt idx="0">
                  <c:v>627009</c:v>
                </c:pt>
                <c:pt idx="1">
                  <c:v>317935</c:v>
                </c:pt>
              </c:numCache>
            </c:numRef>
          </c:val>
        </c:ser>
        <c:ser>
          <c:idx val="1"/>
          <c:order val="1"/>
          <c:tx>
            <c:strRef>
              <c:f>Sheet1!$D$46</c:f>
              <c:strCache>
                <c:ptCount val="1"/>
                <c:pt idx="0">
                  <c:v>2015թ. հունվար-ապրիլ</c:v>
                </c:pt>
              </c:strCache>
            </c:strRef>
          </c:tx>
          <c:dLbls>
            <c:dLbl>
              <c:idx val="0"/>
              <c:layout>
                <c:manualLayout>
                  <c:x val="-1.9566736547868634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1.6771488469601688E-2"/>
                  <c:y val="-9.2592592592592692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Sheet1!$B$47:$B$48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Sheet1!$D$47:$D$48</c:f>
              <c:numCache>
                <c:formatCode>#,##0.0</c:formatCode>
                <c:ptCount val="2"/>
                <c:pt idx="0">
                  <c:v>607882.19999999925</c:v>
                </c:pt>
                <c:pt idx="1">
                  <c:v>341950.2</c:v>
                </c:pt>
              </c:numCache>
            </c:numRef>
          </c:val>
        </c:ser>
        <c:ser>
          <c:idx val="2"/>
          <c:order val="2"/>
          <c:tx>
            <c:strRef>
              <c:f>Sheet1!$E$46</c:f>
              <c:strCache>
                <c:ptCount val="1"/>
                <c:pt idx="0">
                  <c:v>2016թ. հունվար-ապրիլ</c:v>
                </c:pt>
              </c:strCache>
            </c:strRef>
          </c:tx>
          <c:dLbls>
            <c:dLbl>
              <c:idx val="0"/>
              <c:layout>
                <c:manualLayout>
                  <c:x val="2.7952480782669474E-3"/>
                  <c:y val="1.8518518518518528E-2"/>
                </c:manualLayout>
              </c:layout>
              <c:showVal val="1"/>
            </c:dLbl>
            <c:dLbl>
              <c:idx val="1"/>
              <c:layout>
                <c:manualLayout>
                  <c:x val="2.7952480782669474E-3"/>
                  <c:y val="2.314814814814814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Sheet1!$B$47:$B$48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Sheet1!$E$47:$E$48</c:f>
              <c:numCache>
                <c:formatCode>#,##0.0</c:formatCode>
                <c:ptCount val="2"/>
                <c:pt idx="0">
                  <c:v>601052.4</c:v>
                </c:pt>
                <c:pt idx="1">
                  <c:v>368175.4</c:v>
                </c:pt>
              </c:numCache>
            </c:numRef>
          </c:val>
        </c:ser>
        <c:ser>
          <c:idx val="3"/>
          <c:order val="3"/>
          <c:tx>
            <c:strRef>
              <c:f>Sheet1!$F$46</c:f>
              <c:strCache>
                <c:ptCount val="1"/>
                <c:pt idx="0">
                  <c:v>2017թ. հունվար-ապրիլ</c:v>
                </c:pt>
              </c:strCache>
            </c:strRef>
          </c:tx>
          <c:dLbls>
            <c:dLbl>
              <c:idx val="0"/>
              <c:layout>
                <c:manualLayout>
                  <c:x val="1.1180992313067793E-2"/>
                  <c:y val="4.629629629629632E-3"/>
                </c:manualLayout>
              </c:layout>
              <c:showVal val="1"/>
            </c:dLbl>
            <c:dLbl>
              <c:idx val="1"/>
              <c:layout>
                <c:manualLayout>
                  <c:x val="2.236198462613547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Sheet1!$B$47:$B$48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Sheet1!$F$47:$F$48</c:f>
              <c:numCache>
                <c:formatCode>#,##0.0</c:formatCode>
                <c:ptCount val="2"/>
                <c:pt idx="0">
                  <c:v>685872.9</c:v>
                </c:pt>
                <c:pt idx="1">
                  <c:v>409032.3</c:v>
                </c:pt>
              </c:numCache>
            </c:numRef>
          </c:val>
        </c:ser>
        <c:dLbls>
          <c:showVal val="1"/>
        </c:dLbls>
        <c:overlap val="-25"/>
        <c:axId val="69377408"/>
        <c:axId val="69490176"/>
      </c:barChart>
      <c:catAx>
        <c:axId val="693774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69490176"/>
        <c:crosses val="autoZero"/>
        <c:auto val="1"/>
        <c:lblAlgn val="ctr"/>
        <c:lblOffset val="100"/>
      </c:catAx>
      <c:valAx>
        <c:axId val="69490176"/>
        <c:scaling>
          <c:orientation val="minMax"/>
        </c:scaling>
        <c:delete val="1"/>
        <c:axPos val="l"/>
        <c:numFmt formatCode="#,##0.0" sourceLinked="1"/>
        <c:tickLblPos val="nextTo"/>
        <c:crossAx val="693774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5.791313821621355E-2"/>
          <c:y val="0.18009259259259275"/>
          <c:w val="0.87858300731276517"/>
          <c:h val="9.1459609215514673E-2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Իրական աճը  նախորդ տարվա նույն  ժամանակահատվածի նկատմաբ /%/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Sheet1!$C$69</c:f>
              <c:strCache>
                <c:ptCount val="1"/>
                <c:pt idx="0">
                  <c:v>2014թ. հունվար-ապրիլ</c:v>
                </c:pt>
              </c:strCache>
            </c:strRef>
          </c:tx>
          <c:dLbls>
            <c:dLbl>
              <c:idx val="0"/>
              <c:layout>
                <c:manualLayout>
                  <c:x val="-1.624799298905499E-2"/>
                  <c:y val="1.38888888888889E-2"/>
                </c:manualLayout>
              </c:layout>
              <c:showVal val="1"/>
            </c:dLbl>
            <c:dLbl>
              <c:idx val="1"/>
              <c:layout>
                <c:manualLayout>
                  <c:x val="-1.0831995326036662E-2"/>
                  <c:y val="4.629629629629632E-3"/>
                </c:manualLayout>
              </c:layout>
              <c:showVal val="1"/>
            </c:dLbl>
            <c:dLbl>
              <c:idx val="2"/>
              <c:layout>
                <c:manualLayout>
                  <c:x val="-1.624799298905499E-2"/>
                  <c:y val="9.2592592592593125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Sheet1!$B$70:$B$72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Sheet1!$C$70:$C$72</c:f>
              <c:numCache>
                <c:formatCode>0.0</c:formatCode>
                <c:ptCount val="3"/>
                <c:pt idx="0">
                  <c:v>98.6</c:v>
                </c:pt>
                <c:pt idx="1">
                  <c:v>104.1</c:v>
                </c:pt>
                <c:pt idx="2">
                  <c:v>100.7</c:v>
                </c:pt>
              </c:numCache>
            </c:numRef>
          </c:val>
        </c:ser>
        <c:ser>
          <c:idx val="1"/>
          <c:order val="1"/>
          <c:tx>
            <c:strRef>
              <c:f>Sheet1!$D$69</c:f>
              <c:strCache>
                <c:ptCount val="1"/>
                <c:pt idx="0">
                  <c:v>2015թ. հունվար-ապրիլ</c:v>
                </c:pt>
              </c:strCache>
            </c:strRef>
          </c:tx>
          <c:dLbls>
            <c:dLbl>
              <c:idx val="0"/>
              <c:layout>
                <c:manualLayout>
                  <c:x val="-5.4159976630183335E-3"/>
                  <c:y val="1.3888888888888944E-2"/>
                </c:manualLayout>
              </c:layout>
              <c:showVal val="1"/>
            </c:dLbl>
            <c:dLbl>
              <c:idx val="2"/>
              <c:layout>
                <c:manualLayout>
                  <c:x val="-2.7079988315091672E-3"/>
                  <c:y val="1.3888888888888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Sheet1!$B$70:$B$72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Sheet1!$D$70:$D$72</c:f>
              <c:numCache>
                <c:formatCode>0.0</c:formatCode>
                <c:ptCount val="3"/>
                <c:pt idx="0">
                  <c:v>104.2</c:v>
                </c:pt>
                <c:pt idx="1">
                  <c:v>104.8</c:v>
                </c:pt>
                <c:pt idx="2">
                  <c:v>100.5</c:v>
                </c:pt>
              </c:numCache>
            </c:numRef>
          </c:val>
        </c:ser>
        <c:ser>
          <c:idx val="2"/>
          <c:order val="2"/>
          <c:tx>
            <c:strRef>
              <c:f>Sheet1!$E$69</c:f>
              <c:strCache>
                <c:ptCount val="1"/>
                <c:pt idx="0">
                  <c:v>2016թ. հունվար-ապրիլ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9.2592592592592692E-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9.2592592592592692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3888888888888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Sheet1!$B$70:$B$72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Sheet1!$E$70:$E$72</c:f>
              <c:numCache>
                <c:formatCode>0.0</c:formatCode>
                <c:ptCount val="3"/>
                <c:pt idx="0">
                  <c:v>110</c:v>
                </c:pt>
                <c:pt idx="1">
                  <c:v>104.1</c:v>
                </c:pt>
                <c:pt idx="2">
                  <c:v>92.6</c:v>
                </c:pt>
              </c:numCache>
            </c:numRef>
          </c:val>
        </c:ser>
        <c:ser>
          <c:idx val="3"/>
          <c:order val="3"/>
          <c:tx>
            <c:strRef>
              <c:f>Sheet1!$F$69</c:f>
              <c:strCache>
                <c:ptCount val="1"/>
                <c:pt idx="0">
                  <c:v>2017թ. հունվար-ապրիլ</c:v>
                </c:pt>
              </c:strCache>
            </c:strRef>
          </c:tx>
          <c:dLbls>
            <c:dLbl>
              <c:idx val="1"/>
              <c:layout>
                <c:manualLayout>
                  <c:x val="2.7079988315091672E-3"/>
                  <c:y val="1.8518518518518528E-2"/>
                </c:manualLayout>
              </c:layout>
              <c:showVal val="1"/>
            </c:dLbl>
            <c:dLbl>
              <c:idx val="2"/>
              <c:layout>
                <c:manualLayout>
                  <c:x val="5.4159976630183335E-3"/>
                  <c:y val="1.3888888888888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Sheet1!$B$70:$B$72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Sheet1!$F$70:$F$72</c:f>
              <c:numCache>
                <c:formatCode>0.0</c:formatCode>
                <c:ptCount val="3"/>
                <c:pt idx="0">
                  <c:v>112.9</c:v>
                </c:pt>
                <c:pt idx="1">
                  <c:v>97.1</c:v>
                </c:pt>
                <c:pt idx="2">
                  <c:v>86.6</c:v>
                </c:pt>
              </c:numCache>
            </c:numRef>
          </c:val>
        </c:ser>
        <c:dLbls>
          <c:showVal val="1"/>
        </c:dLbls>
        <c:overlap val="-25"/>
        <c:axId val="69660672"/>
        <c:axId val="69662208"/>
      </c:barChart>
      <c:catAx>
        <c:axId val="696606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69662208"/>
        <c:crosses val="autoZero"/>
        <c:auto val="1"/>
        <c:lblAlgn val="ctr"/>
        <c:lblOffset val="100"/>
      </c:catAx>
      <c:valAx>
        <c:axId val="69662208"/>
        <c:scaling>
          <c:orientation val="minMax"/>
        </c:scaling>
        <c:delete val="1"/>
        <c:axPos val="l"/>
        <c:numFmt formatCode="0.0" sourceLinked="1"/>
        <c:tickLblPos val="nextTo"/>
        <c:crossAx val="6966067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4491567888677842E-2"/>
          <c:y val="0.14305555555555555"/>
          <c:w val="0.9083088653911352"/>
          <c:h val="0.10612787984835229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Իրական աճը  նախորդ տարվա նույն ժամանակաշրջանի նկատմամբ /%/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Sheet1!$C$93</c:f>
              <c:strCache>
                <c:ptCount val="1"/>
                <c:pt idx="0">
                  <c:v>2014թ. հունվար-ապրիլ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Sheet1!$B$94:$B$95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Sheet1!$C$94:$C$95</c:f>
              <c:numCache>
                <c:formatCode>0.0</c:formatCode>
                <c:ptCount val="2"/>
                <c:pt idx="0" formatCode="0.0;[Red]0.0">
                  <c:v>105.1</c:v>
                </c:pt>
                <c:pt idx="1">
                  <c:v>102.8</c:v>
                </c:pt>
              </c:numCache>
            </c:numRef>
          </c:val>
        </c:ser>
        <c:ser>
          <c:idx val="1"/>
          <c:order val="1"/>
          <c:tx>
            <c:strRef>
              <c:f>Sheet1!$D$93</c:f>
              <c:strCache>
                <c:ptCount val="1"/>
                <c:pt idx="0">
                  <c:v>2015թ. հունվար-ապրիլ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Sheet1!$B$94:$B$95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Sheet1!$D$94:$D$95</c:f>
              <c:numCache>
                <c:formatCode>0.0</c:formatCode>
                <c:ptCount val="2"/>
                <c:pt idx="0" formatCode="0.0;[Red]0.0">
                  <c:v>92.4</c:v>
                </c:pt>
                <c:pt idx="1">
                  <c:v>103.1</c:v>
                </c:pt>
              </c:numCache>
            </c:numRef>
          </c:val>
        </c:ser>
        <c:ser>
          <c:idx val="2"/>
          <c:order val="2"/>
          <c:tx>
            <c:strRef>
              <c:f>Sheet1!$E$93</c:f>
              <c:strCache>
                <c:ptCount val="1"/>
                <c:pt idx="0">
                  <c:v>2016թ. հունվար-ապրիլ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Sheet1!$B$94:$B$95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Sheet1!$E$94:$E$95</c:f>
              <c:numCache>
                <c:formatCode>0.0</c:formatCode>
                <c:ptCount val="2"/>
                <c:pt idx="0" formatCode="0.0;[Red]0.0">
                  <c:v>99.3</c:v>
                </c:pt>
                <c:pt idx="1">
                  <c:v>109.3</c:v>
                </c:pt>
              </c:numCache>
            </c:numRef>
          </c:val>
        </c:ser>
        <c:ser>
          <c:idx val="3"/>
          <c:order val="3"/>
          <c:tx>
            <c:strRef>
              <c:f>Sheet1!$F$93</c:f>
              <c:strCache>
                <c:ptCount val="1"/>
                <c:pt idx="0">
                  <c:v>2017թ. հունվար-ապրիլ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Sheet1!$B$94:$B$95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Sheet1!$F$94:$F$95</c:f>
              <c:numCache>
                <c:formatCode>0.0</c:formatCode>
                <c:ptCount val="2"/>
                <c:pt idx="0" formatCode="0.0;[Red]0.0">
                  <c:v>112.1</c:v>
                </c:pt>
                <c:pt idx="1">
                  <c:v>110.1</c:v>
                </c:pt>
              </c:numCache>
            </c:numRef>
          </c:val>
        </c:ser>
        <c:dLbls>
          <c:showVal val="1"/>
        </c:dLbls>
        <c:overlap val="-25"/>
        <c:axId val="69965312"/>
        <c:axId val="69966848"/>
      </c:barChart>
      <c:catAx>
        <c:axId val="6996531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69966848"/>
        <c:crosses val="autoZero"/>
        <c:auto val="1"/>
        <c:lblAlgn val="ctr"/>
        <c:lblOffset val="100"/>
      </c:catAx>
      <c:valAx>
        <c:axId val="69966848"/>
        <c:scaling>
          <c:orientation val="minMax"/>
        </c:scaling>
        <c:delete val="1"/>
        <c:axPos val="l"/>
        <c:numFmt formatCode="0.0;[Red]0.0" sourceLinked="1"/>
        <c:tickLblPos val="nextTo"/>
        <c:crossAx val="699653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6.0531933508311493E-2"/>
          <c:y val="0.1523148148148149"/>
          <c:w val="0.8733805774278216"/>
          <c:h val="0.12001676873724119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Սպառողական գների ինդեքս /%/</a:t>
            </a:r>
          </a:p>
        </c:rich>
      </c:tx>
    </c:title>
    <c:plotArea>
      <c:layout>
        <c:manualLayout>
          <c:layoutTarget val="inner"/>
          <c:xMode val="edge"/>
          <c:yMode val="edge"/>
          <c:x val="3.0314458803366577E-2"/>
          <c:y val="0.27540500145815111"/>
          <c:w val="0.93937108239326683"/>
          <c:h val="0.55753499562554676"/>
        </c:manualLayout>
      </c:layout>
      <c:barChart>
        <c:barDir val="col"/>
        <c:grouping val="clustered"/>
        <c:ser>
          <c:idx val="0"/>
          <c:order val="0"/>
          <c:tx>
            <c:strRef>
              <c:f>Sheet1!$C$116</c:f>
              <c:strCache>
                <c:ptCount val="1"/>
                <c:pt idx="0">
                  <c:v>2014թ. հունվար-ապրիլ</c:v>
                </c:pt>
              </c:strCache>
            </c:strRef>
          </c:tx>
          <c:dLbls>
            <c:dLbl>
              <c:idx val="0"/>
              <c:layout>
                <c:manualLayout>
                  <c:x val="-8.2675796736454352E-3"/>
                  <c:y val="1.3888888888888859E-2"/>
                </c:manualLayout>
              </c:layout>
              <c:showVal val="1"/>
            </c:dLbl>
            <c:dLbl>
              <c:idx val="1"/>
              <c:layout>
                <c:manualLayout>
                  <c:x val="-8.2675796736454352E-3"/>
                  <c:y val="9.2592592592592692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Sheet1!$B$117:$B$118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Sheet1!$C$117:$C$118</c:f>
              <c:numCache>
                <c:formatCode>0.0</c:formatCode>
                <c:ptCount val="2"/>
                <c:pt idx="0">
                  <c:v>104.6</c:v>
                </c:pt>
                <c:pt idx="1">
                  <c:v>101.7</c:v>
                </c:pt>
              </c:numCache>
            </c:numRef>
          </c:val>
        </c:ser>
        <c:ser>
          <c:idx val="1"/>
          <c:order val="1"/>
          <c:tx>
            <c:strRef>
              <c:f>Sheet1!$D$116</c:f>
              <c:strCache>
                <c:ptCount val="1"/>
                <c:pt idx="0">
                  <c:v>2015թ. հունվար-ապրիլ</c:v>
                </c:pt>
              </c:strCache>
            </c:strRef>
          </c:tx>
          <c:dLbls>
            <c:dLbl>
              <c:idx val="0"/>
              <c:layout>
                <c:manualLayout>
                  <c:x val="2.7558598912151683E-3"/>
                  <c:y val="2.3148148148148147E-2"/>
                </c:manualLayout>
              </c:layout>
              <c:showVal val="1"/>
            </c:dLbl>
            <c:dLbl>
              <c:idx val="1"/>
              <c:layout>
                <c:manualLayout>
                  <c:x val="-5.5117197824302916E-3"/>
                  <c:y val="1.8518518518518528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Sheet1!$B$117:$B$118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Sheet1!$D$117:$D$118</c:f>
              <c:numCache>
                <c:formatCode>0.0</c:formatCode>
                <c:ptCount val="2"/>
                <c:pt idx="0">
                  <c:v>105</c:v>
                </c:pt>
                <c:pt idx="1">
                  <c:v>101.9</c:v>
                </c:pt>
              </c:numCache>
            </c:numRef>
          </c:val>
        </c:ser>
        <c:ser>
          <c:idx val="2"/>
          <c:order val="2"/>
          <c:tx>
            <c:strRef>
              <c:f>Sheet1!$E$116</c:f>
              <c:strCache>
                <c:ptCount val="1"/>
                <c:pt idx="0">
                  <c:v>2016թ. հունվար-ապրիլ</c:v>
                </c:pt>
              </c:strCache>
            </c:strRef>
          </c:tx>
          <c:dLbls>
            <c:dLbl>
              <c:idx val="0"/>
              <c:layout>
                <c:manualLayout>
                  <c:x val="-1.1023439564860583E-2"/>
                  <c:y val="4.629629629629632E-3"/>
                </c:manualLayout>
              </c:layout>
              <c:showVal val="1"/>
            </c:dLbl>
            <c:dLbl>
              <c:idx val="1"/>
              <c:layout>
                <c:manualLayout>
                  <c:x val="-5.5117197824302916E-3"/>
                  <c:y val="1.8518518518518528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Sheet1!$B$117:$B$118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Sheet1!$E$117:$E$118</c:f>
              <c:numCache>
                <c:formatCode>0.0</c:formatCode>
                <c:ptCount val="2"/>
                <c:pt idx="0">
                  <c:v>98.5</c:v>
                </c:pt>
                <c:pt idx="1">
                  <c:v>100.1</c:v>
                </c:pt>
              </c:numCache>
            </c:numRef>
          </c:val>
        </c:ser>
        <c:ser>
          <c:idx val="3"/>
          <c:order val="3"/>
          <c:tx>
            <c:strRef>
              <c:f>Sheet1!$F$116</c:f>
              <c:strCache>
                <c:ptCount val="1"/>
                <c:pt idx="0">
                  <c:v>2017թ. հունվար-ապրիլ</c:v>
                </c:pt>
              </c:strCache>
            </c:strRef>
          </c:tx>
          <c:dLbls>
            <c:dLbl>
              <c:idx val="0"/>
              <c:layout>
                <c:manualLayout>
                  <c:x val="-5.0523514353661955E-17"/>
                  <c:y val="1.8518518518518528E-2"/>
                </c:manualLayout>
              </c:layout>
              <c:showVal val="1"/>
            </c:dLbl>
            <c:dLbl>
              <c:idx val="1"/>
              <c:layout>
                <c:manualLayout>
                  <c:x val="-2.7558598912150421E-3"/>
                  <c:y val="1.8518518518518528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Sheet1!$B$117:$B$118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Sheet1!$F$117:$F$118</c:f>
              <c:numCache>
                <c:formatCode>0.0</c:formatCode>
                <c:ptCount val="2"/>
                <c:pt idx="0">
                  <c:v>100.1</c:v>
                </c:pt>
                <c:pt idx="1">
                  <c:v>102.4</c:v>
                </c:pt>
              </c:numCache>
            </c:numRef>
          </c:val>
        </c:ser>
        <c:dLbls>
          <c:showVal val="1"/>
        </c:dLbls>
        <c:overlap val="-25"/>
        <c:axId val="73435392"/>
        <c:axId val="73632384"/>
      </c:barChart>
      <c:catAx>
        <c:axId val="7343539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73632384"/>
        <c:crosses val="autoZero"/>
        <c:auto val="1"/>
        <c:lblAlgn val="ctr"/>
        <c:lblOffset val="100"/>
      </c:catAx>
      <c:valAx>
        <c:axId val="73632384"/>
        <c:scaling>
          <c:orientation val="minMax"/>
        </c:scaling>
        <c:delete val="1"/>
        <c:axPos val="l"/>
        <c:numFmt formatCode="0.0" sourceLinked="1"/>
        <c:tickLblPos val="nextTo"/>
        <c:crossAx val="734353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6.9511249333277181E-2"/>
          <c:y val="0.12476851851851856"/>
          <c:w val="0.86097750133344575"/>
          <c:h val="0.13390565762613016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1000"/>
              <a:t>Զուտ միջազգային պահուստներ (ԶՄՊ), ժամանակաշրջանի վերջի դրությամբ, մլն. դրամ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Sheet1!$B$139</c:f>
              <c:strCache>
                <c:ptCount val="1"/>
                <c:pt idx="0">
                  <c:v>Զուտ միջազգային պահուստներ (ԶՄՊ), ժամանակաշրջանի վերջի դրությամբ, մլն. դրամ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Sheet1!$C$138:$F$138</c:f>
              <c:strCache>
                <c:ptCount val="4"/>
                <c:pt idx="0">
                  <c:v>2014թ. հունվար-ապրիլ</c:v>
                </c:pt>
                <c:pt idx="1">
                  <c:v>2015թ. հունվար-ապրիլ</c:v>
                </c:pt>
                <c:pt idx="2">
                  <c:v>2016թ. հունվար-ապրիլ</c:v>
                </c:pt>
                <c:pt idx="3">
                  <c:v>2017թ. հունվար-ապրիլ</c:v>
                </c:pt>
              </c:strCache>
            </c:strRef>
          </c:cat>
          <c:val>
            <c:numRef>
              <c:f>Sheet1!$C$139:$F$139</c:f>
              <c:numCache>
                <c:formatCode>#,##0.0;[Red]#,##0.0</c:formatCode>
                <c:ptCount val="4"/>
                <c:pt idx="0" formatCode="#,##0.0">
                  <c:v>504913</c:v>
                </c:pt>
                <c:pt idx="1">
                  <c:v>399846</c:v>
                </c:pt>
                <c:pt idx="2">
                  <c:v>400615</c:v>
                </c:pt>
                <c:pt idx="3" formatCode="#,##0.0">
                  <c:v>544073</c:v>
                </c:pt>
              </c:numCache>
            </c:numRef>
          </c:val>
        </c:ser>
        <c:dLbls>
          <c:showVal val="1"/>
        </c:dLbls>
        <c:overlap val="-25"/>
        <c:axId val="85775104"/>
        <c:axId val="85837312"/>
      </c:barChart>
      <c:catAx>
        <c:axId val="85775104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85837312"/>
        <c:crosses val="autoZero"/>
        <c:auto val="1"/>
        <c:lblAlgn val="ctr"/>
        <c:lblOffset val="100"/>
      </c:catAx>
      <c:valAx>
        <c:axId val="85837312"/>
        <c:scaling>
          <c:orientation val="minMax"/>
        </c:scaling>
        <c:delete val="1"/>
        <c:axPos val="l"/>
        <c:numFmt formatCode="#,##0.0" sourceLinked="1"/>
        <c:tickLblPos val="nextTo"/>
        <c:crossAx val="8577510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արտաքին առևտրաշրջանառությունը և առևտրի հաշվեկշիռը (մլն ԱՄՆ դոլար)</a:t>
            </a:r>
          </a:p>
        </c:rich>
      </c:tx>
    </c:title>
    <c:plotArea>
      <c:layout>
        <c:manualLayout>
          <c:layoutTarget val="inner"/>
          <c:xMode val="edge"/>
          <c:yMode val="edge"/>
          <c:x val="3.0588103920729318E-2"/>
          <c:y val="0.33052864102836593"/>
          <c:w val="0.93882379215854184"/>
          <c:h val="0.64902383183438506"/>
        </c:manualLayout>
      </c:layout>
      <c:barChart>
        <c:barDir val="col"/>
        <c:grouping val="clustered"/>
        <c:ser>
          <c:idx val="0"/>
          <c:order val="0"/>
          <c:tx>
            <c:strRef>
              <c:f>Sheet1!$C$157</c:f>
              <c:strCache>
                <c:ptCount val="1"/>
                <c:pt idx="0">
                  <c:v>2014թ. հունվար-ապրիլ</c:v>
                </c:pt>
              </c:strCache>
            </c:strRef>
          </c:tx>
          <c:dLbls>
            <c:dLbl>
              <c:idx val="0"/>
              <c:layout>
                <c:manualLayout>
                  <c:x val="-1.6684420320397807E-2"/>
                  <c:y val="1.6358021709799681E-2"/>
                </c:manualLayout>
              </c:layout>
              <c:showVal val="1"/>
            </c:dLbl>
            <c:dLbl>
              <c:idx val="1"/>
              <c:layout>
                <c:manualLayout>
                  <c:x val="-2.7807367200663041E-3"/>
                  <c:y val="1.2268516282349758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Sheet1!$B$158:$B$159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Sheet1!$C$158:$C$159</c:f>
              <c:numCache>
                <c:formatCode>General</c:formatCode>
                <c:ptCount val="2"/>
                <c:pt idx="0" formatCode="#,##0.0;[Red]#,##0.0">
                  <c:v>1834.2</c:v>
                </c:pt>
                <c:pt idx="1">
                  <c:v>-907.5</c:v>
                </c:pt>
              </c:numCache>
            </c:numRef>
          </c:val>
        </c:ser>
        <c:ser>
          <c:idx val="1"/>
          <c:order val="1"/>
          <c:tx>
            <c:strRef>
              <c:f>Sheet1!$D$157</c:f>
              <c:strCache>
                <c:ptCount val="1"/>
                <c:pt idx="0">
                  <c:v>2015թ. հունվար-ապրիլ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6358021709799681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3.2200830137400982E-7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Sheet1!$B$158:$B$159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Sheet1!$D$158:$D$159</c:f>
              <c:numCache>
                <c:formatCode>General</c:formatCode>
                <c:ptCount val="2"/>
                <c:pt idx="0" formatCode="#,##0.0;[Red]#,##0.0">
                  <c:v>1398.4</c:v>
                </c:pt>
                <c:pt idx="1">
                  <c:v>-556.20000000000005</c:v>
                </c:pt>
              </c:numCache>
            </c:numRef>
          </c:val>
        </c:ser>
        <c:ser>
          <c:idx val="2"/>
          <c:order val="2"/>
          <c:tx>
            <c:strRef>
              <c:f>Sheet1!$E$157</c:f>
              <c:strCache>
                <c:ptCount val="1"/>
                <c:pt idx="0">
                  <c:v>2016թ. հունվար-ապրիլ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0447527137249601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4.0898274357512978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Sheet1!$B$158:$B$159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Sheet1!$E$158:$E$159</c:f>
              <c:numCache>
                <c:formatCode>0.0</c:formatCode>
                <c:ptCount val="2"/>
                <c:pt idx="0" formatCode="#,##0.0;[Red]#,##0.0">
                  <c:v>1467.3</c:v>
                </c:pt>
                <c:pt idx="1">
                  <c:v>-419</c:v>
                </c:pt>
              </c:numCache>
            </c:numRef>
          </c:val>
        </c:ser>
        <c:ser>
          <c:idx val="3"/>
          <c:order val="3"/>
          <c:tx>
            <c:strRef>
              <c:f>Sheet1!$F$157</c:f>
              <c:strCache>
                <c:ptCount val="1"/>
                <c:pt idx="0">
                  <c:v>2017թ. հունվար-ապրիլ</c:v>
                </c:pt>
              </c:strCache>
            </c:strRef>
          </c:tx>
          <c:dLbls>
            <c:dLbl>
              <c:idx val="0"/>
              <c:layout>
                <c:manualLayout>
                  <c:x val="1.9465157040464115E-2"/>
                  <c:y val="1.2268516282349718E-2"/>
                </c:manualLayout>
              </c:layout>
              <c:showVal val="1"/>
            </c:dLbl>
            <c:dLbl>
              <c:idx val="1"/>
              <c:layout>
                <c:manualLayout>
                  <c:x val="1.3903683600331503E-2"/>
                  <c:y val="8.1790108548998458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Sheet1!$B$158:$B$159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Sheet1!$F$158:$F$159</c:f>
              <c:numCache>
                <c:formatCode>General</c:formatCode>
                <c:ptCount val="2"/>
                <c:pt idx="0" formatCode="#,##0.0;[Red]#,##0.0">
                  <c:v>1689</c:v>
                </c:pt>
                <c:pt idx="1">
                  <c:v>-472.2</c:v>
                </c:pt>
              </c:numCache>
            </c:numRef>
          </c:val>
        </c:ser>
        <c:dLbls>
          <c:showVal val="1"/>
        </c:dLbls>
        <c:overlap val="-25"/>
        <c:axId val="94622080"/>
        <c:axId val="94623616"/>
      </c:barChart>
      <c:catAx>
        <c:axId val="9462208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94623616"/>
        <c:crosses val="autoZero"/>
        <c:auto val="1"/>
        <c:lblAlgn val="ctr"/>
        <c:lblOffset val="100"/>
      </c:catAx>
      <c:valAx>
        <c:axId val="94623616"/>
        <c:scaling>
          <c:orientation val="minMax"/>
        </c:scaling>
        <c:delete val="1"/>
        <c:axPos val="l"/>
        <c:numFmt formatCode="#,##0.0;[Red]#,##0.0" sourceLinked="1"/>
        <c:tickLblPos val="nextTo"/>
        <c:crossAx val="946220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5.4502220757652278E-2"/>
          <c:y val="0.13454472856310234"/>
          <c:w val="0.8715301824885846"/>
          <c:h val="0.11828330934371489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1000"/>
              <a:t>ՀՀ արտահանումը և ներմուծումը  (մլն ԱՄՆ դոլար)</a:t>
            </a:r>
          </a:p>
        </c:rich>
      </c:tx>
    </c:title>
    <c:plotArea>
      <c:layout>
        <c:manualLayout>
          <c:layoutTarget val="inner"/>
          <c:xMode val="edge"/>
          <c:yMode val="edge"/>
          <c:x val="3.0579600538918957E-2"/>
          <c:y val="0.24672517474974909"/>
          <c:w val="0.9388407989221621"/>
          <c:h val="0.60620917283718778"/>
        </c:manualLayout>
      </c:layout>
      <c:barChart>
        <c:barDir val="col"/>
        <c:grouping val="clustered"/>
        <c:ser>
          <c:idx val="0"/>
          <c:order val="0"/>
          <c:tx>
            <c:strRef>
              <c:f>Sheet1!$C$178</c:f>
              <c:strCache>
                <c:ptCount val="1"/>
                <c:pt idx="0">
                  <c:v>2014թ. հունվար-ապրիլ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1.2801933259926623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Sheet1!$B$179:$B$180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Sheet1!$C$179:$C$180</c:f>
              <c:numCache>
                <c:formatCode>#,##0.0;[Red]#,##0.0</c:formatCode>
                <c:ptCount val="2"/>
                <c:pt idx="0" formatCode="0.0">
                  <c:v>463.4</c:v>
                </c:pt>
                <c:pt idx="1">
                  <c:v>1370.8</c:v>
                </c:pt>
              </c:numCache>
            </c:numRef>
          </c:val>
        </c:ser>
        <c:ser>
          <c:idx val="1"/>
          <c:order val="1"/>
          <c:tx>
            <c:strRef>
              <c:f>Sheet1!$D$178</c:f>
              <c:strCache>
                <c:ptCount val="1"/>
                <c:pt idx="0">
                  <c:v>2015թ. հունվար-ապրիլ</c:v>
                </c:pt>
              </c:strCache>
            </c:strRef>
          </c:tx>
          <c:dLbls>
            <c:dLbl>
              <c:idx val="0"/>
              <c:layout>
                <c:manualLayout>
                  <c:x val="2.5482706070704146E-17"/>
                  <c:y val="1.7069244346568913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Sheet1!$B$179:$B$180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Sheet1!$D$179:$D$180</c:f>
              <c:numCache>
                <c:formatCode>0.0</c:formatCode>
                <c:ptCount val="2"/>
                <c:pt idx="0" formatCode="General">
                  <c:v>421.1</c:v>
                </c:pt>
                <c:pt idx="1">
                  <c:v>977.3</c:v>
                </c:pt>
              </c:numCache>
            </c:numRef>
          </c:val>
        </c:ser>
        <c:ser>
          <c:idx val="2"/>
          <c:order val="2"/>
          <c:tx>
            <c:strRef>
              <c:f>Sheet1!$E$178</c:f>
              <c:strCache>
                <c:ptCount val="1"/>
                <c:pt idx="0">
                  <c:v>2016թ. հունվար-ապրիլ</c:v>
                </c:pt>
              </c:strCache>
            </c:strRef>
          </c:tx>
          <c:dLbls>
            <c:dLbl>
              <c:idx val="0"/>
              <c:layout>
                <c:manualLayout>
                  <c:x val="-2.7799636853562681E-3"/>
                  <c:y val="1.706924434656883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7069244346568833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Sheet1!$B$179:$B$180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Sheet1!$E$179:$E$180</c:f>
              <c:numCache>
                <c:formatCode>0.0</c:formatCode>
                <c:ptCount val="2"/>
                <c:pt idx="0" formatCode="General">
                  <c:v>524.20000000000005</c:v>
                </c:pt>
                <c:pt idx="1">
                  <c:v>943.1</c:v>
                </c:pt>
              </c:numCache>
            </c:numRef>
          </c:val>
        </c:ser>
        <c:ser>
          <c:idx val="3"/>
          <c:order val="3"/>
          <c:tx>
            <c:strRef>
              <c:f>Sheet1!$F$178</c:f>
              <c:strCache>
                <c:ptCount val="1"/>
                <c:pt idx="0">
                  <c:v>2017թ. հունվար-ապրիլ</c:v>
                </c:pt>
              </c:strCache>
            </c:strRef>
          </c:tx>
          <c:dLbls>
            <c:dLbl>
              <c:idx val="0"/>
              <c:layout>
                <c:manualLayout>
                  <c:x val="1.6679782112137605E-2"/>
                  <c:y val="4.2673110866422084E-3"/>
                </c:manualLayout>
              </c:layout>
              <c:showVal val="1"/>
            </c:dLbl>
            <c:dLbl>
              <c:idx val="1"/>
              <c:layout>
                <c:manualLayout>
                  <c:x val="5.559927370712538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Sheet1!$B$179:$B$180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Sheet1!$F$179:$F$180</c:f>
              <c:numCache>
                <c:formatCode>#,##0.0;[Red]#,##0.0</c:formatCode>
                <c:ptCount val="2"/>
                <c:pt idx="0" formatCode="#,##0.00">
                  <c:v>608.4</c:v>
                </c:pt>
                <c:pt idx="1">
                  <c:v>1080.5999999999999</c:v>
                </c:pt>
              </c:numCache>
            </c:numRef>
          </c:val>
        </c:ser>
        <c:dLbls>
          <c:showVal val="1"/>
        </c:dLbls>
        <c:overlap val="-25"/>
        <c:axId val="85670144"/>
        <c:axId val="85733376"/>
      </c:barChart>
      <c:catAx>
        <c:axId val="856701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85733376"/>
        <c:crosses val="autoZero"/>
        <c:auto val="1"/>
        <c:lblAlgn val="ctr"/>
        <c:lblOffset val="100"/>
      </c:catAx>
      <c:valAx>
        <c:axId val="85733376"/>
        <c:scaling>
          <c:orientation val="minMax"/>
        </c:scaling>
        <c:delete val="1"/>
        <c:axPos val="l"/>
        <c:numFmt formatCode="0.0" sourceLinked="1"/>
        <c:tickLblPos val="nextTo"/>
        <c:crossAx val="8567014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6.0185994893184824E-2"/>
          <c:y val="0.12067955753024162"/>
          <c:w val="0.88240775500420787"/>
          <c:h val="9.7822226508200466E-2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FinComm Expert2</dc:creator>
  <cp:lastModifiedBy>FinComm Expert2</cp:lastModifiedBy>
  <cp:revision>18</cp:revision>
  <cp:lastPrinted>2017-06-14T06:31:00Z</cp:lastPrinted>
  <dcterms:created xsi:type="dcterms:W3CDTF">2017-04-12T07:52:00Z</dcterms:created>
  <dcterms:modified xsi:type="dcterms:W3CDTF">2017-06-14T06:38:00Z</dcterms:modified>
</cp:coreProperties>
</file>