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843B3E">
        <w:rPr>
          <w:rFonts w:ascii="GHEA Grapalat" w:hAnsi="GHEA Grapalat" w:cs="Sylfaen"/>
          <w:sz w:val="24"/>
          <w:szCs w:val="24"/>
        </w:rPr>
        <w:t>մայիս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843B3E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843B3E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43B3E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96160" cy="2736215"/>
            <wp:effectExtent l="19050" t="0" r="28240" b="6985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843B3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43B3E">
        <w:rPr>
          <w:rFonts w:ascii="GHEA Grapalat" w:hAnsi="GHEA Grapalat"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12BB3" w:rsidRPr="00212BB3">
        <w:rPr>
          <w:rFonts w:ascii="GHEA Grapalat" w:hAnsi="GHEA Grapalat"/>
          <w:sz w:val="24"/>
          <w:szCs w:val="24"/>
        </w:rPr>
        <w:drawing>
          <wp:inline distT="0" distB="0" distL="0" distR="0">
            <wp:extent cx="4697538" cy="2743200"/>
            <wp:effectExtent l="19050" t="0" r="26862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32061B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2061B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32061B">
        <w:rPr>
          <w:rFonts w:ascii="GHEA Grapalat" w:hAnsi="GHEA Grapalat"/>
          <w:sz w:val="24"/>
          <w:szCs w:val="24"/>
        </w:rPr>
        <w:drawing>
          <wp:inline distT="0" distB="0" distL="0" distR="0">
            <wp:extent cx="4607092" cy="2743200"/>
            <wp:effectExtent l="19050" t="0" r="22058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32061B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32061B">
        <w:rPr>
          <w:rFonts w:ascii="GHEA Grapalat" w:hAnsi="GHEA Grapalat"/>
          <w:sz w:val="24"/>
          <w:szCs w:val="24"/>
        </w:rPr>
        <w:drawing>
          <wp:inline distT="0" distB="0" distL="0" distR="0">
            <wp:extent cx="4563373" cy="3105510"/>
            <wp:effectExtent l="19050" t="0" r="27677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 </w:t>
      </w:r>
      <w:r w:rsidRPr="0032061B">
        <w:rPr>
          <w:rFonts w:ascii="GHEA Grapalat" w:hAnsi="GHEA Grapalat"/>
          <w:sz w:val="24"/>
          <w:szCs w:val="24"/>
        </w:rPr>
        <w:drawing>
          <wp:inline distT="0" distB="0" distL="0" distR="0">
            <wp:extent cx="4565865" cy="3105510"/>
            <wp:effectExtent l="19050" t="0" r="25185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4B6FE4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4B6FE4">
        <w:rPr>
          <w:rFonts w:ascii="GHEA Grapalat" w:hAnsi="GHEA Grapalat"/>
          <w:sz w:val="24"/>
          <w:szCs w:val="24"/>
        </w:rPr>
        <w:drawing>
          <wp:inline distT="0" distB="0" distL="0" distR="0">
            <wp:extent cx="4565230" cy="2976114"/>
            <wp:effectExtent l="19050" t="0" r="25820" b="0"/>
            <wp:docPr id="1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4B6FE4">
        <w:rPr>
          <w:rFonts w:ascii="GHEA Grapalat" w:hAnsi="GHEA Grapalat"/>
          <w:sz w:val="24"/>
          <w:szCs w:val="24"/>
        </w:rPr>
        <w:drawing>
          <wp:inline distT="0" distB="0" distL="0" distR="0">
            <wp:extent cx="4617253" cy="2976114"/>
            <wp:effectExtent l="19050" t="0" r="11897" b="0"/>
            <wp:docPr id="2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4B6FE4" w:rsidP="00013691">
      <w:pPr>
        <w:ind w:left="-360" w:firstLine="360"/>
        <w:rPr>
          <w:rFonts w:ascii="GHEA Grapalat" w:hAnsi="GHEA Grapalat"/>
          <w:sz w:val="16"/>
          <w:szCs w:val="16"/>
        </w:rPr>
      </w:pPr>
      <w:r w:rsidRPr="004B6FE4">
        <w:rPr>
          <w:rFonts w:ascii="GHEA Grapalat" w:hAnsi="GHEA Grapalat"/>
          <w:sz w:val="24"/>
          <w:szCs w:val="24"/>
        </w:rPr>
        <w:drawing>
          <wp:inline distT="0" distB="0" distL="0" distR="0">
            <wp:extent cx="3207229" cy="3182513"/>
            <wp:effectExtent l="19050" t="0" r="12221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Pr="004B6FE4">
        <w:rPr>
          <w:rFonts w:ascii="GHEA Grapalat" w:hAnsi="GHEA Grapalat"/>
          <w:sz w:val="24"/>
          <w:szCs w:val="24"/>
        </w:rPr>
        <w:drawing>
          <wp:inline distT="0" distB="0" distL="0" distR="0">
            <wp:extent cx="3026074" cy="3183148"/>
            <wp:effectExtent l="19050" t="0" r="21926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B29FC" w:rsidRPr="004B29FC">
        <w:rPr>
          <w:rFonts w:ascii="GHEA Grapalat" w:hAnsi="GHEA Grapalat"/>
          <w:sz w:val="24"/>
          <w:szCs w:val="24"/>
        </w:rPr>
        <w:drawing>
          <wp:inline distT="0" distB="0" distL="0" distR="0">
            <wp:extent cx="3012105" cy="3177432"/>
            <wp:effectExtent l="19050" t="0" r="16845" b="3918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4B6FE4">
        <w:rPr>
          <w:rFonts w:ascii="GHEA Grapalat" w:hAnsi="GHEA Grapalat"/>
          <w:sz w:val="16"/>
          <w:szCs w:val="16"/>
        </w:rPr>
        <w:t>մայիս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013691">
      <w:headerReference w:type="default" r:id="rId21"/>
      <w:pgSz w:w="15840" w:h="12240" w:orient="landscape"/>
      <w:pgMar w:top="450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ED" w:rsidRDefault="009C34ED" w:rsidP="00AC2D9E">
      <w:pPr>
        <w:spacing w:after="0" w:line="240" w:lineRule="auto"/>
      </w:pPr>
      <w:r>
        <w:separator/>
      </w:r>
    </w:p>
  </w:endnote>
  <w:endnote w:type="continuationSeparator" w:id="1">
    <w:p w:rsidR="009C34ED" w:rsidRDefault="009C34ED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ED" w:rsidRDefault="009C34ED" w:rsidP="00AC2D9E">
      <w:pPr>
        <w:spacing w:after="0" w:line="240" w:lineRule="auto"/>
      </w:pPr>
      <w:r>
        <w:separator/>
      </w:r>
    </w:p>
  </w:footnote>
  <w:footnote w:type="continuationSeparator" w:id="1">
    <w:p w:rsidR="009C34ED" w:rsidRDefault="009C34ED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3691"/>
    <w:rsid w:val="00014E0B"/>
    <w:rsid w:val="0006054D"/>
    <w:rsid w:val="000650B8"/>
    <w:rsid w:val="000675D6"/>
    <w:rsid w:val="0008501D"/>
    <w:rsid w:val="000C120D"/>
    <w:rsid w:val="00102816"/>
    <w:rsid w:val="0012000E"/>
    <w:rsid w:val="001476E6"/>
    <w:rsid w:val="00160AE9"/>
    <w:rsid w:val="00194EC9"/>
    <w:rsid w:val="0019787B"/>
    <w:rsid w:val="001B0B81"/>
    <w:rsid w:val="001C1675"/>
    <w:rsid w:val="001D2D9A"/>
    <w:rsid w:val="001D6A45"/>
    <w:rsid w:val="001E262C"/>
    <w:rsid w:val="001E7DD6"/>
    <w:rsid w:val="001F2E6E"/>
    <w:rsid w:val="002003E2"/>
    <w:rsid w:val="00212BB3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7775"/>
    <w:rsid w:val="002D2278"/>
    <w:rsid w:val="002D3E86"/>
    <w:rsid w:val="002E2575"/>
    <w:rsid w:val="002F2A59"/>
    <w:rsid w:val="003003CC"/>
    <w:rsid w:val="00304E24"/>
    <w:rsid w:val="0032061B"/>
    <w:rsid w:val="003361C0"/>
    <w:rsid w:val="00345F90"/>
    <w:rsid w:val="003670A8"/>
    <w:rsid w:val="003A58E5"/>
    <w:rsid w:val="003C7B39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7DE4"/>
    <w:rsid w:val="004B29FC"/>
    <w:rsid w:val="004B3A6B"/>
    <w:rsid w:val="004B6FE4"/>
    <w:rsid w:val="004F2B23"/>
    <w:rsid w:val="00513FFD"/>
    <w:rsid w:val="005244EF"/>
    <w:rsid w:val="005403D8"/>
    <w:rsid w:val="005573EF"/>
    <w:rsid w:val="005B1A4E"/>
    <w:rsid w:val="005C63AF"/>
    <w:rsid w:val="005D5AFC"/>
    <w:rsid w:val="005E0215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10FD"/>
    <w:rsid w:val="00672C70"/>
    <w:rsid w:val="00683871"/>
    <w:rsid w:val="006927B1"/>
    <w:rsid w:val="00697E19"/>
    <w:rsid w:val="006A61EA"/>
    <w:rsid w:val="006B5023"/>
    <w:rsid w:val="006B6EF3"/>
    <w:rsid w:val="006D02A5"/>
    <w:rsid w:val="006F698B"/>
    <w:rsid w:val="007061B2"/>
    <w:rsid w:val="00745186"/>
    <w:rsid w:val="00795E20"/>
    <w:rsid w:val="007A694E"/>
    <w:rsid w:val="007A7000"/>
    <w:rsid w:val="007A74E8"/>
    <w:rsid w:val="007B37F5"/>
    <w:rsid w:val="007B4FE1"/>
    <w:rsid w:val="007C3361"/>
    <w:rsid w:val="007D095A"/>
    <w:rsid w:val="00803D24"/>
    <w:rsid w:val="0081180D"/>
    <w:rsid w:val="00811EF3"/>
    <w:rsid w:val="00816579"/>
    <w:rsid w:val="00841547"/>
    <w:rsid w:val="00843B3E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17ADA"/>
    <w:rsid w:val="00923985"/>
    <w:rsid w:val="00927F36"/>
    <w:rsid w:val="00934D90"/>
    <w:rsid w:val="009C34ED"/>
    <w:rsid w:val="009C6F99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681D"/>
    <w:rsid w:val="00B55DF2"/>
    <w:rsid w:val="00B61515"/>
    <w:rsid w:val="00B619F8"/>
    <w:rsid w:val="00B61D27"/>
    <w:rsid w:val="00B63EB8"/>
    <w:rsid w:val="00B84B20"/>
    <w:rsid w:val="00B85680"/>
    <w:rsid w:val="00BD3858"/>
    <w:rsid w:val="00BD7408"/>
    <w:rsid w:val="00C017E6"/>
    <w:rsid w:val="00C05E66"/>
    <w:rsid w:val="00C132D9"/>
    <w:rsid w:val="00C1557D"/>
    <w:rsid w:val="00C26433"/>
    <w:rsid w:val="00C277E0"/>
    <w:rsid w:val="00C94D95"/>
    <w:rsid w:val="00CB051C"/>
    <w:rsid w:val="00CD2C49"/>
    <w:rsid w:val="00CF0868"/>
    <w:rsid w:val="00CF259D"/>
    <w:rsid w:val="00CF3581"/>
    <w:rsid w:val="00CF4D61"/>
    <w:rsid w:val="00D34BAE"/>
    <w:rsid w:val="00D50656"/>
    <w:rsid w:val="00D67B14"/>
    <w:rsid w:val="00D8356A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7371B"/>
    <w:rsid w:val="00EC11CC"/>
    <w:rsid w:val="00ED0F8A"/>
    <w:rsid w:val="00EF7F1B"/>
    <w:rsid w:val="00F057EC"/>
    <w:rsid w:val="00F336DE"/>
    <w:rsid w:val="00F40D2C"/>
    <w:rsid w:val="00F51D59"/>
    <w:rsid w:val="00F63873"/>
    <w:rsid w:val="00FA1371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May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005309870856E-3"/>
                  <c:y val="-4.16666666666666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245622774420119E-17"/>
                  <c:y val="-9.7222222222222224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9.7222222222222265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8.7962962962962993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հունվար-մայիս</c:v>
                </c:pt>
                <c:pt idx="1">
                  <c:v>2015թ. հունվար-մայիս</c:v>
                </c:pt>
                <c:pt idx="2">
                  <c:v>2016թ. հունվար-մայիս</c:v>
                </c:pt>
                <c:pt idx="3">
                  <c:v>2017թ. հունվար-մայիս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 formatCode="General">
                  <c:v>104.6</c:v>
                </c:pt>
                <c:pt idx="1">
                  <c:v>103</c:v>
                </c:pt>
                <c:pt idx="2" formatCode="#,##0.0;[Red]#,##0.0">
                  <c:v>106.1</c:v>
                </c:pt>
                <c:pt idx="3">
                  <c:v>106.4</c:v>
                </c:pt>
              </c:numCache>
            </c:numRef>
          </c:val>
        </c:ser>
        <c:gapWidth val="75"/>
        <c:overlap val="40"/>
        <c:axId val="118435200"/>
        <c:axId val="118487296"/>
      </c:barChart>
      <c:catAx>
        <c:axId val="11843520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8487296"/>
        <c:crosses val="autoZero"/>
        <c:auto val="1"/>
        <c:lblAlgn val="ctr"/>
        <c:lblOffset val="100"/>
      </c:catAx>
      <c:valAx>
        <c:axId val="118487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84352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256085165790141E-2"/>
          <c:y val="0.23067463141532887"/>
          <c:w val="0.9394878296684197"/>
          <c:h val="0.67469088885708028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հունվար-մայիս</c:v>
                </c:pt>
                <c:pt idx="1">
                  <c:v>2015թ. հունվար-մայիս</c:v>
                </c:pt>
                <c:pt idx="2">
                  <c:v>2016թ. հունվար-մայիս</c:v>
                </c:pt>
                <c:pt idx="3">
                  <c:v>2017թ. հունվար-մայիս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65000</c:v>
                </c:pt>
                <c:pt idx="1">
                  <c:v>83605</c:v>
                </c:pt>
                <c:pt idx="2">
                  <c:v>95761</c:v>
                </c:pt>
                <c:pt idx="3">
                  <c:v>93371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6503319181340077E-2"/>
                  <c:y val="1.2801928958366515E-2"/>
                </c:manualLayout>
              </c:layout>
              <c:showVal val="1"/>
            </c:dLbl>
            <c:dLbl>
              <c:idx val="1"/>
              <c:layout>
                <c:manualLayout>
                  <c:x val="1.1002212787560049E-2"/>
                  <c:y val="8.5346193055776762E-3"/>
                </c:manualLayout>
              </c:layout>
              <c:showVal val="1"/>
            </c:dLbl>
            <c:dLbl>
              <c:idx val="3"/>
              <c:layout>
                <c:manualLayout>
                  <c:x val="1.6503319181339973E-2"/>
                  <c:y val="8.534619305577676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հունվար-մայիս</c:v>
                </c:pt>
                <c:pt idx="1">
                  <c:v>2015թ. հունվար-մայիս</c:v>
                </c:pt>
                <c:pt idx="2">
                  <c:v>2016թ. հունվար-մայիս</c:v>
                </c:pt>
                <c:pt idx="3">
                  <c:v>2017թ. հունվար-մայիս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61427</c:v>
                </c:pt>
                <c:pt idx="1">
                  <c:v>74279</c:v>
                </c:pt>
                <c:pt idx="2">
                  <c:v>79960</c:v>
                </c:pt>
                <c:pt idx="3">
                  <c:v>78948</c:v>
                </c:pt>
              </c:numCache>
            </c:numRef>
          </c:val>
        </c:ser>
        <c:dLbls>
          <c:showVal val="1"/>
        </c:dLbls>
        <c:overlap val="-25"/>
        <c:axId val="122708352"/>
        <c:axId val="122709888"/>
      </c:barChart>
      <c:catAx>
        <c:axId val="12270835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2709888"/>
        <c:crosses val="autoZero"/>
        <c:auto val="1"/>
        <c:lblAlgn val="ctr"/>
        <c:lblOffset val="100"/>
      </c:catAx>
      <c:valAx>
        <c:axId val="122709888"/>
        <c:scaling>
          <c:orientation val="minMax"/>
        </c:scaling>
        <c:delete val="1"/>
        <c:axPos val="l"/>
        <c:numFmt formatCode="#,##0.0;[Red]#,##0.0" sourceLinked="1"/>
        <c:tickLblPos val="nextTo"/>
        <c:crossAx val="122708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6507637766438193E-2"/>
          <c:y val="2.5603857916733037E-2"/>
          <c:w val="0.92973527766401376"/>
          <c:h val="0.1794669155818628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4.3557850094271405E-2"/>
          <c:y val="0.18296704522495277"/>
          <c:w val="0.91288429981145702"/>
          <c:h val="0.69705041267702605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հունվար-մայիս</c:v>
                </c:pt>
                <c:pt idx="1">
                  <c:v>2015թ. հունվար-մայիս</c:v>
                </c:pt>
                <c:pt idx="2">
                  <c:v>2016թ. հունվար-մայիս</c:v>
                </c:pt>
                <c:pt idx="3">
                  <c:v>2017թ. հունվար-մայիս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163144</c:v>
                </c:pt>
                <c:pt idx="1">
                  <c:v>179675</c:v>
                </c:pt>
                <c:pt idx="2">
                  <c:v>184299</c:v>
                </c:pt>
                <c:pt idx="3">
                  <c:v>189266</c:v>
                </c:pt>
              </c:numCache>
            </c:numRef>
          </c:val>
        </c:ser>
        <c:dLbls>
          <c:showVal val="1"/>
        </c:dLbls>
        <c:overlap val="-25"/>
        <c:axId val="122955264"/>
        <c:axId val="122956800"/>
      </c:barChart>
      <c:catAx>
        <c:axId val="12295526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2956800"/>
        <c:crosses val="autoZero"/>
        <c:auto val="1"/>
        <c:lblAlgn val="ctr"/>
        <c:lblOffset val="100"/>
      </c:catAx>
      <c:valAx>
        <c:axId val="122956800"/>
        <c:scaling>
          <c:orientation val="minMax"/>
        </c:scaling>
        <c:delete val="1"/>
        <c:axPos val="l"/>
        <c:numFmt formatCode="#,##0.0" sourceLinked="1"/>
        <c:tickLblPos val="nextTo"/>
        <c:crossAx val="1229552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2.9377999348330543E-2"/>
          <c:y val="0.30234597951461895"/>
          <c:w val="0.9496377154028619"/>
          <c:h val="0.58416196796378927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9.6176863013705977E-18"/>
                  <c:y val="2.393825232128697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763873</c:v>
                </c:pt>
                <c:pt idx="1">
                  <c:v>339080</c:v>
                </c:pt>
                <c:pt idx="2">
                  <c:v>424791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519460</c:v>
                </c:pt>
                <c:pt idx="1">
                  <c:v>284057</c:v>
                </c:pt>
                <c:pt idx="2">
                  <c:v>235403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487206</c:v>
                </c:pt>
                <c:pt idx="1">
                  <c:v>313988</c:v>
                </c:pt>
                <c:pt idx="2">
                  <c:v>173219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577172</c:v>
                </c:pt>
                <c:pt idx="1">
                  <c:v>356683</c:v>
                </c:pt>
                <c:pt idx="2">
                  <c:v>220488</c:v>
                </c:pt>
              </c:numCache>
            </c:numRef>
          </c:val>
        </c:ser>
        <c:dLbls>
          <c:showVal val="1"/>
        </c:dLbls>
        <c:overlap val="-25"/>
        <c:axId val="123255040"/>
        <c:axId val="124444672"/>
      </c:barChart>
      <c:catAx>
        <c:axId val="1232550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4444672"/>
        <c:crosses val="autoZero"/>
        <c:auto val="1"/>
        <c:lblAlgn val="ctr"/>
        <c:lblOffset val="100"/>
      </c:catAx>
      <c:valAx>
        <c:axId val="124444672"/>
        <c:scaling>
          <c:orientation val="minMax"/>
        </c:scaling>
        <c:delete val="1"/>
        <c:axPos val="l"/>
        <c:numFmt formatCode="#,##0" sourceLinked="1"/>
        <c:tickLblPos val="nextTo"/>
        <c:crossAx val="123255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738851065770371E-2"/>
          <c:y val="0.18153412910741193"/>
          <c:w val="0.9083254408186977"/>
          <c:h val="0.1014951236951596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1081602400978727E-2"/>
          <c:y val="0.30263810523718526"/>
          <c:w val="0.96205311567823837"/>
          <c:h val="0.59559984289199563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98775363249316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315037</c:v>
                </c:pt>
                <c:pt idx="1">
                  <c:v>139846</c:v>
                </c:pt>
                <c:pt idx="2">
                  <c:v>175192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247952</c:v>
                </c:pt>
                <c:pt idx="1">
                  <c:v>135596</c:v>
                </c:pt>
                <c:pt idx="2">
                  <c:v>112355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236271</c:v>
                </c:pt>
                <c:pt idx="1">
                  <c:v>152297</c:v>
                </c:pt>
                <c:pt idx="2">
                  <c:v>83974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279912</c:v>
                </c:pt>
                <c:pt idx="1">
                  <c:v>173031</c:v>
                </c:pt>
                <c:pt idx="2">
                  <c:v>106881</c:v>
                </c:pt>
              </c:numCache>
            </c:numRef>
          </c:val>
        </c:ser>
        <c:dLbls>
          <c:showVal val="1"/>
        </c:dLbls>
        <c:overlap val="-25"/>
        <c:axId val="124468608"/>
        <c:axId val="124499072"/>
      </c:barChart>
      <c:catAx>
        <c:axId val="124468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4499072"/>
        <c:crosses val="autoZero"/>
        <c:auto val="1"/>
        <c:lblAlgn val="ctr"/>
        <c:lblOffset val="100"/>
      </c:catAx>
      <c:valAx>
        <c:axId val="124499072"/>
        <c:scaling>
          <c:orientation val="minMax"/>
        </c:scaling>
        <c:delete val="1"/>
        <c:axPos val="l"/>
        <c:numFmt formatCode="#,##0" sourceLinked="1"/>
        <c:tickLblPos val="nextTo"/>
        <c:crossAx val="124468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4641239266227445E-2"/>
          <c:y val="0.1805816772790102"/>
          <c:w val="0.92963558707282778"/>
          <c:h val="8.608398228506543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9747708766311203E-2"/>
          <c:y val="0.3452656315384573"/>
          <c:w val="0.94050458246737767"/>
          <c:h val="0.48724789535910012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2.1634697284589978E-2"/>
                  <c:y val="1.8565792527268511E-2"/>
                </c:manualLayout>
              </c:layout>
              <c:showVal val="1"/>
            </c:dLbl>
            <c:dLbl>
              <c:idx val="1"/>
              <c:layout>
                <c:manualLayout>
                  <c:x val="-2.1634697284589974E-2"/>
                  <c:y val="2.3207240659085641E-2"/>
                </c:manualLayout>
              </c:layout>
              <c:showVal val="1"/>
            </c:dLbl>
            <c:dLbl>
              <c:idx val="2"/>
              <c:layout>
                <c:manualLayout>
                  <c:x val="-2.704337160573746E-2"/>
                  <c:y val="1.8565792527268511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471748.4</c:v>
                </c:pt>
                <c:pt idx="1">
                  <c:v>160754.9</c:v>
                </c:pt>
                <c:pt idx="2">
                  <c:v>90858.1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1.081734864229498E-2"/>
                  <c:y val="9.2828962636342591E-3"/>
                </c:manualLayout>
              </c:layout>
              <c:showVal val="1"/>
            </c:dLbl>
            <c:dLbl>
              <c:idx val="1"/>
              <c:layout>
                <c:manualLayout>
                  <c:x val="-4.9578941870351491E-17"/>
                  <c:y val="9.2828962636343441E-3"/>
                </c:manualLayout>
              </c:layout>
              <c:showVal val="1"/>
            </c:dLbl>
            <c:dLbl>
              <c:idx val="2"/>
              <c:layout>
                <c:manualLayout>
                  <c:x val="-1.0817348642295081E-2"/>
                  <c:y val="-1.3924344395451383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499688.7</c:v>
                </c:pt>
                <c:pt idx="1">
                  <c:v>174030.7</c:v>
                </c:pt>
                <c:pt idx="2">
                  <c:v>97386.7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3924344395451468E-2"/>
                </c:manualLayout>
              </c:layout>
              <c:showVal val="1"/>
            </c:dLbl>
            <c:dLbl>
              <c:idx val="2"/>
              <c:layout>
                <c:manualLayout>
                  <c:x val="5.408674321147491E-3"/>
                  <c:y val="1.3924344395451383E-2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533473.6</c:v>
                </c:pt>
                <c:pt idx="1">
                  <c:v>188317.9</c:v>
                </c:pt>
                <c:pt idx="2">
                  <c:v>90376.5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8.1130114817212357E-3"/>
                  <c:y val="9.282896263634214E-3"/>
                </c:manualLayout>
              </c:layout>
              <c:showVal val="1"/>
            </c:dLbl>
            <c:dLbl>
              <c:idx val="1"/>
              <c:layout>
                <c:manualLayout>
                  <c:x val="1.352168580286873E-2"/>
                  <c:y val="9.2828962636342591E-3"/>
                </c:manualLayout>
              </c:layout>
              <c:showVal val="1"/>
            </c:dLbl>
            <c:dLbl>
              <c:idx val="2"/>
              <c:layout>
                <c:manualLayout>
                  <c:x val="2.704337160573746E-2"/>
                  <c:y val="9.2828962636342591E-3"/>
                </c:manualLayout>
              </c:layout>
              <c:showVal val="1"/>
            </c:dLbl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625053.5</c:v>
                </c:pt>
                <c:pt idx="1">
                  <c:v>170630.5</c:v>
                </c:pt>
                <c:pt idx="2">
                  <c:v>78586.2</c:v>
                </c:pt>
              </c:numCache>
            </c:numRef>
          </c:val>
        </c:ser>
        <c:dLbls>
          <c:showVal val="1"/>
        </c:dLbls>
        <c:overlap val="-25"/>
        <c:axId val="122919936"/>
        <c:axId val="122992896"/>
      </c:barChart>
      <c:catAx>
        <c:axId val="122919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2992896"/>
        <c:crosses val="autoZero"/>
        <c:auto val="1"/>
        <c:lblAlgn val="ctr"/>
        <c:lblOffset val="100"/>
      </c:catAx>
      <c:valAx>
        <c:axId val="122992896"/>
        <c:scaling>
          <c:orientation val="minMax"/>
        </c:scaling>
        <c:delete val="1"/>
        <c:axPos val="l"/>
        <c:numFmt formatCode="#,##0.0" sourceLinked="1"/>
        <c:tickLblPos val="nextTo"/>
        <c:crossAx val="122919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1105073080985315E-2"/>
          <c:y val="0.23601763750290097"/>
          <c:w val="0.90697250519573436"/>
          <c:h val="0.1017573545938458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747728860936407E-2"/>
          <c:y val="0.24739574219889182"/>
          <c:w val="0.9385045422781273"/>
          <c:h val="0.63473388743073789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3.9133473095737246E-2"/>
                  <c:y val="-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2.2361984626135575E-2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812519.5</c:v>
                </c:pt>
                <c:pt idx="1">
                  <c:v>404234.6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2.7952480782669465E-3"/>
                  <c:y val="-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-2.7952480782669465E-3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778569.8</c:v>
                </c:pt>
                <c:pt idx="1">
                  <c:v>435279.5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2.7952480782669465E-3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774331.5</c:v>
                </c:pt>
                <c:pt idx="1">
                  <c:v>468046.7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8.3857442348008442E-3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3.913347309573724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>
                  <c:v>894484.6</c:v>
                </c:pt>
                <c:pt idx="1">
                  <c:v>524689.4</c:v>
                </c:pt>
              </c:numCache>
            </c:numRef>
          </c:val>
        </c:ser>
        <c:dLbls>
          <c:showVal val="1"/>
        </c:dLbls>
        <c:overlap val="-25"/>
        <c:axId val="125500416"/>
        <c:axId val="125580032"/>
      </c:barChart>
      <c:catAx>
        <c:axId val="125500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580032"/>
        <c:crosses val="autoZero"/>
        <c:auto val="1"/>
        <c:lblAlgn val="ctr"/>
        <c:lblOffset val="100"/>
      </c:catAx>
      <c:valAx>
        <c:axId val="125580032"/>
        <c:scaling>
          <c:orientation val="minMax"/>
        </c:scaling>
        <c:delete val="1"/>
        <c:axPos val="l"/>
        <c:numFmt formatCode="#,##0.0" sourceLinked="1"/>
        <c:tickLblPos val="nextTo"/>
        <c:crossAx val="125500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8040410043084243E-2"/>
          <c:y val="0.14305555555555555"/>
          <c:w val="0.90671420789382462"/>
          <c:h val="0.1014982502187226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2.9738982420152858E-2"/>
          <c:y val="0.26591426071741037"/>
          <c:w val="0.94052203515969424"/>
          <c:h val="0.56702573636628772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1.0814175425510131E-2"/>
                  <c:y val="1.388888888888885E-2"/>
                </c:manualLayout>
              </c:layout>
              <c:showVal val="1"/>
            </c:dLbl>
            <c:dLbl>
              <c:idx val="1"/>
              <c:layout>
                <c:manualLayout>
                  <c:x val="-1.6221263138265198E-2"/>
                  <c:y val="1.3888888888888892E-2"/>
                </c:manualLayout>
              </c:layout>
              <c:showVal val="1"/>
            </c:dLbl>
            <c:dLbl>
              <c:idx val="2"/>
              <c:layout>
                <c:manualLayout>
                  <c:x val="-1.6221263138265198E-2"/>
                  <c:y val="1.38888888888888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100.2</c:v>
                </c:pt>
                <c:pt idx="1">
                  <c:v>105.4</c:v>
                </c:pt>
                <c:pt idx="2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2.7035438563775341E-3"/>
                  <c:y val="4.6296296296296302E-3"/>
                </c:manualLayout>
              </c:layout>
              <c:showVal val="1"/>
            </c:dLbl>
            <c:dLbl>
              <c:idx val="1"/>
              <c:layout>
                <c:manualLayout>
                  <c:x val="-8.1106315691325988E-3"/>
                  <c:y val="4.6296296296296727E-3"/>
                </c:manualLayout>
              </c:layout>
              <c:showVal val="1"/>
            </c:dLbl>
            <c:dLbl>
              <c:idx val="2"/>
              <c:layout>
                <c:manualLayout>
                  <c:x val="-5.4070877127550664E-3"/>
                  <c:y val="1.38888888888888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104.5</c:v>
                </c:pt>
                <c:pt idx="1">
                  <c:v>106</c:v>
                </c:pt>
                <c:pt idx="2">
                  <c:v>100.4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108.8</c:v>
                </c:pt>
                <c:pt idx="1">
                  <c:v>104.5</c:v>
                </c:pt>
                <c:pt idx="2">
                  <c:v>92.1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8.110631569132598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035438563775341E-3"/>
                  <c:y val="2.777777777777779E-2"/>
                </c:manualLayout>
              </c:layout>
              <c:showVal val="1"/>
            </c:dLbl>
            <c:dLbl>
              <c:idx val="2"/>
              <c:layout>
                <c:manualLayout>
                  <c:x val="2.7035438563775341E-3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114.4</c:v>
                </c:pt>
                <c:pt idx="1">
                  <c:v>96.5</c:v>
                </c:pt>
                <c:pt idx="2">
                  <c:v>87.9</c:v>
                </c:pt>
              </c:numCache>
            </c:numRef>
          </c:val>
        </c:ser>
        <c:dLbls>
          <c:showVal val="1"/>
        </c:dLbls>
        <c:overlap val="-25"/>
        <c:axId val="125609856"/>
        <c:axId val="125611392"/>
      </c:barChart>
      <c:catAx>
        <c:axId val="1256098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5611392"/>
        <c:crosses val="autoZero"/>
        <c:auto val="1"/>
        <c:lblAlgn val="ctr"/>
        <c:lblOffset val="100"/>
      </c:catAx>
      <c:valAx>
        <c:axId val="125611392"/>
        <c:scaling>
          <c:orientation val="minMax"/>
        </c:scaling>
        <c:delete val="1"/>
        <c:axPos val="l"/>
        <c:numFmt formatCode="0.0" sourceLinked="1"/>
        <c:tickLblPos val="nextTo"/>
        <c:crossAx val="125609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943231539585209E-2"/>
          <c:y val="0.14305555555555555"/>
          <c:w val="0.90400290535169692"/>
          <c:h val="0.1200167687372411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5665500145815096"/>
          <c:w val="0.93888888888888899"/>
          <c:h val="0.62547462817147881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79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105.1</c:v>
                </c:pt>
                <c:pt idx="1">
                  <c:v>103.1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2.5462668816040007E-17"/>
                  <c:y val="9.2592592592592223E-3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91.4</c:v>
                </c:pt>
                <c:pt idx="1">
                  <c:v>103.8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99.9</c:v>
                </c:pt>
                <c:pt idx="1">
                  <c:v>108.6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5.0925337632080008E-17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1.0185067526416003E-16"/>
                  <c:y val="2.77777777777777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112.8</c:v>
                </c:pt>
                <c:pt idx="1">
                  <c:v>111</c:v>
                </c:pt>
              </c:numCache>
            </c:numRef>
          </c:val>
        </c:ser>
        <c:dLbls>
          <c:showVal val="1"/>
        </c:dLbls>
        <c:overlap val="-25"/>
        <c:axId val="126112128"/>
        <c:axId val="126113664"/>
      </c:barChart>
      <c:catAx>
        <c:axId val="1261121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6113664"/>
        <c:crosses val="autoZero"/>
        <c:auto val="1"/>
        <c:lblAlgn val="ctr"/>
        <c:lblOffset val="100"/>
      </c:catAx>
      <c:valAx>
        <c:axId val="126113664"/>
        <c:scaling>
          <c:orientation val="minMax"/>
        </c:scaling>
        <c:delete val="1"/>
        <c:axPos val="l"/>
        <c:numFmt formatCode="0.0;[Red]0.0" sourceLinked="1"/>
        <c:tickLblPos val="nextTo"/>
        <c:crossAx val="126112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754155730533668E-2"/>
          <c:y val="0.14305555555555555"/>
          <c:w val="0.90382502187226588"/>
          <c:h val="0.1107575094779819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322815346426772E-2"/>
          <c:y val="0.21984944590259561"/>
          <c:w val="0.93935436930714633"/>
          <c:h val="0.60521617089530466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2.7566195769478884E-3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5.5132391538957777E-3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104.4</c:v>
                </c:pt>
                <c:pt idx="1">
                  <c:v>100.9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7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77777777777777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105</c:v>
                </c:pt>
                <c:pt idx="1">
                  <c:v>101.4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98.4</c:v>
                </c:pt>
                <c:pt idx="1">
                  <c:v>99.4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2.7566195769478884E-3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100.4</c:v>
                </c:pt>
                <c:pt idx="1">
                  <c:v>102.1</c:v>
                </c:pt>
              </c:numCache>
            </c:numRef>
          </c:val>
        </c:ser>
        <c:dLbls>
          <c:showVal val="1"/>
        </c:dLbls>
        <c:overlap val="-25"/>
        <c:axId val="91588480"/>
        <c:axId val="91590016"/>
      </c:barChart>
      <c:catAx>
        <c:axId val="91588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590016"/>
        <c:crosses val="autoZero"/>
        <c:auto val="1"/>
        <c:lblAlgn val="ctr"/>
        <c:lblOffset val="100"/>
      </c:catAx>
      <c:valAx>
        <c:axId val="91590016"/>
        <c:scaling>
          <c:orientation val="minMax"/>
        </c:scaling>
        <c:delete val="1"/>
        <c:axPos val="l"/>
        <c:numFmt formatCode="0.0" sourceLinked="1"/>
        <c:tickLblPos val="nextTo"/>
        <c:crossAx val="91588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8069402564567852E-2"/>
          <c:y val="9.2361111111111102E-2"/>
          <c:w val="0.86386119487086432"/>
          <c:h val="0.129276027996500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613320453971225E-2"/>
          <c:y val="0.1427237394180022"/>
          <c:w val="0.9387733590920575"/>
          <c:h val="0.76658487655811791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8.179010854899861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հունվար-մայիս</c:v>
                </c:pt>
                <c:pt idx="1">
                  <c:v>2015թ. հունվար-մայիս</c:v>
                </c:pt>
                <c:pt idx="2">
                  <c:v>2016թ. հունվար-մայիս</c:v>
                </c:pt>
                <c:pt idx="3">
                  <c:v>2017թ. հունվար-մայիս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506628</c:v>
                </c:pt>
                <c:pt idx="1">
                  <c:v>447451</c:v>
                </c:pt>
                <c:pt idx="2">
                  <c:v>388021</c:v>
                </c:pt>
                <c:pt idx="3" formatCode="#,##0.0">
                  <c:v>549817</c:v>
                </c:pt>
              </c:numCache>
            </c:numRef>
          </c:val>
        </c:ser>
        <c:dLbls>
          <c:showVal val="1"/>
        </c:dLbls>
        <c:overlap val="-25"/>
        <c:axId val="91610496"/>
        <c:axId val="91661440"/>
      </c:barChart>
      <c:catAx>
        <c:axId val="9161049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661440"/>
        <c:crosses val="autoZero"/>
        <c:auto val="1"/>
        <c:lblAlgn val="ctr"/>
        <c:lblOffset val="100"/>
      </c:catAx>
      <c:valAx>
        <c:axId val="91661440"/>
        <c:scaling>
          <c:orientation val="minMax"/>
        </c:scaling>
        <c:delete val="1"/>
        <c:axPos val="l"/>
        <c:numFmt formatCode="#,##0.0" sourceLinked="1"/>
        <c:tickLblPos val="nextTo"/>
        <c:crossAx val="916104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596612032988271E-2"/>
          <c:y val="0.24306989834197926"/>
          <c:w val="0.93880677593402351"/>
          <c:h val="0.75693010165802088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-5.5630203696342313E-3"/>
                  <c:y val="1.635802170979968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2301.6</c:v>
                </c:pt>
                <c:pt idx="1">
                  <c:v>-1149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-2.7815101848171165E-3"/>
                  <c:y val="8.179010854899878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635802170979968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General</c:formatCode>
                <c:ptCount val="2"/>
                <c:pt idx="0" formatCode="#,##0.0;[Red]#,##0.0">
                  <c:v>1772.1</c:v>
                </c:pt>
                <c:pt idx="1">
                  <c:v>-678.4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2.781510184817015E-3"/>
                  <c:y val="8.179010854899842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1856.7</c:v>
                </c:pt>
                <c:pt idx="1">
                  <c:v>-526.29999999999995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2.7815101848171165E-3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2.503359166335415E-2"/>
                  <c:y val="1.226851628234975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2286.1999999999998</c:v>
                </c:pt>
                <c:pt idx="1">
                  <c:v>-678.3</c:v>
                </c:pt>
              </c:numCache>
            </c:numRef>
          </c:val>
        </c:ser>
        <c:dLbls>
          <c:showVal val="1"/>
        </c:dLbls>
        <c:overlap val="-25"/>
        <c:axId val="118083968"/>
        <c:axId val="118085504"/>
      </c:barChart>
      <c:catAx>
        <c:axId val="118083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8085504"/>
        <c:crosses val="autoZero"/>
        <c:auto val="1"/>
        <c:lblAlgn val="ctr"/>
        <c:lblOffset val="100"/>
      </c:catAx>
      <c:valAx>
        <c:axId val="118085504"/>
        <c:scaling>
          <c:orientation val="minMax"/>
        </c:scaling>
        <c:delete val="1"/>
        <c:axPos val="l"/>
        <c:numFmt formatCode="#,##0.0;[Red]#,##0.0" sourceLinked="1"/>
        <c:tickLblPos val="nextTo"/>
        <c:crossAx val="118083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469864965346107E-2"/>
          <c:y val="0.13454472856310234"/>
          <c:w val="0.90782097149171082"/>
          <c:h val="0.1060147930613651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600867864269719E-2"/>
          <c:y val="0.23251495070417336"/>
          <c:w val="0.93879826427146063"/>
          <c:h val="0.64609789813159058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-5.5637941571399473E-3"/>
                  <c:y val="8.53461930557767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0.0">
                  <c:v>576.29999999999995</c:v>
                </c:pt>
                <c:pt idx="1">
                  <c:v>1725.3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06923861115535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General">
                  <c:v>546.79999999999995</c:v>
                </c:pt>
                <c:pt idx="1">
                  <c:v>1225.2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հունվար-մայիս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706923861115535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General">
                  <c:v>665.2</c:v>
                </c:pt>
                <c:pt idx="1">
                  <c:v>1191.5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հունվար-մայիս</c:v>
                </c:pt>
              </c:strCache>
            </c:strRef>
          </c:tx>
          <c:dLbls>
            <c:dLbl>
              <c:idx val="0"/>
              <c:layout>
                <c:manualLayout>
                  <c:x val="1.1127588314279844E-2"/>
                  <c:y val="4.267309652788839E-3"/>
                </c:manualLayout>
              </c:layout>
              <c:showVal val="1"/>
            </c:dLbl>
            <c:dLbl>
              <c:idx val="1"/>
              <c:layout>
                <c:manualLayout>
                  <c:x val="8.3456912357098238E-3"/>
                  <c:y val="1.280192895836651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#,##0.0">
                  <c:v>803.9</c:v>
                </c:pt>
                <c:pt idx="1">
                  <c:v>1482.3</c:v>
                </c:pt>
              </c:numCache>
            </c:numRef>
          </c:val>
        </c:ser>
        <c:dLbls>
          <c:showVal val="1"/>
        </c:dLbls>
        <c:overlap val="-25"/>
        <c:axId val="122074624"/>
        <c:axId val="122076160"/>
      </c:barChart>
      <c:catAx>
        <c:axId val="1220746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2076160"/>
        <c:crosses val="autoZero"/>
        <c:auto val="1"/>
        <c:lblAlgn val="ctr"/>
        <c:lblOffset val="100"/>
      </c:catAx>
      <c:valAx>
        <c:axId val="122076160"/>
        <c:scaling>
          <c:orientation val="minMax"/>
        </c:scaling>
        <c:delete val="1"/>
        <c:axPos val="l"/>
        <c:numFmt formatCode="0.0" sourceLinked="1"/>
        <c:tickLblPos val="nextTo"/>
        <c:crossAx val="122074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417326180718179E-2"/>
          <c:y val="0.11500399514265919"/>
          <c:w val="0.91072914179570352"/>
          <c:h val="0.1020895032918765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21</cp:revision>
  <cp:lastPrinted>2017-06-14T06:31:00Z</cp:lastPrinted>
  <dcterms:created xsi:type="dcterms:W3CDTF">2017-04-12T07:52:00Z</dcterms:created>
  <dcterms:modified xsi:type="dcterms:W3CDTF">2017-07-06T06:48:00Z</dcterms:modified>
</cp:coreProperties>
</file>