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064BB9">
        <w:rPr>
          <w:rFonts w:ascii="GHEA Grapalat" w:hAnsi="GHEA Grapalat" w:cs="Sylfaen"/>
          <w:sz w:val="24"/>
          <w:szCs w:val="24"/>
        </w:rPr>
        <w:t>սեպտեմբեր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064BB9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064BB9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53692" cy="2743200"/>
            <wp:effectExtent l="19050" t="0" r="18308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05CF9" w:rsidRPr="00705CF9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94256" cy="2736215"/>
            <wp:effectExtent l="19050" t="0" r="11094" b="6985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8D01E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D01E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2422" cy="2743200"/>
            <wp:effectExtent l="19050" t="0" r="19578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200FD" w:rsidRPr="003200F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97431" cy="2743200"/>
            <wp:effectExtent l="19050" t="0" r="26969" b="0"/>
            <wp:docPr id="2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35A3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35A3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16617" cy="2743200"/>
            <wp:effectExtent l="19050" t="0" r="12533" b="0"/>
            <wp:docPr id="2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="003B0CBA" w:rsidRPr="003B0CB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2898" cy="2739390"/>
            <wp:effectExtent l="19050" t="0" r="10052" b="3810"/>
            <wp:docPr id="2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D83A0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83A0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5132" cy="3088257"/>
            <wp:effectExtent l="19050" t="0" r="1401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="00B127D0" w:rsidRPr="00B127D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3088257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09556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9556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15132" cy="2898476"/>
            <wp:effectExtent l="19050" t="0" r="14018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="000C1A32" w:rsidRPr="000C1A3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1966" cy="2898476"/>
            <wp:effectExtent l="19050" t="0" r="16234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CC6383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CC638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13765" cy="3165895"/>
            <wp:effectExtent l="19050" t="0" r="1998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A0B2F" w:rsidRPr="005A0B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34701" cy="3165895"/>
            <wp:effectExtent l="19050" t="0" r="13299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661F4" w:rsidRPr="004661F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01574" cy="3165895"/>
            <wp:effectExtent l="19050" t="0" r="27376" b="0"/>
            <wp:docPr id="2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405277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405277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72000" cy="30480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="005F2BC4" w:rsidRPr="005F2BC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5426" cy="3053751"/>
            <wp:effectExtent l="19050" t="0" r="28024" b="0"/>
            <wp:docPr id="2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064BB9">
        <w:rPr>
          <w:rFonts w:ascii="GHEA Grapalat" w:hAnsi="GHEA Grapalat"/>
          <w:sz w:val="16"/>
          <w:szCs w:val="16"/>
        </w:rPr>
        <w:t>սեպտեմբեր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0F" w:rsidRDefault="00707C0F" w:rsidP="00AC2D9E">
      <w:pPr>
        <w:spacing w:after="0" w:line="240" w:lineRule="auto"/>
      </w:pPr>
      <w:r>
        <w:separator/>
      </w:r>
    </w:p>
  </w:endnote>
  <w:endnote w:type="continuationSeparator" w:id="1">
    <w:p w:rsidR="00707C0F" w:rsidRDefault="00707C0F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0F" w:rsidRDefault="00707C0F" w:rsidP="00AC2D9E">
      <w:pPr>
        <w:spacing w:after="0" w:line="240" w:lineRule="auto"/>
      </w:pPr>
      <w:r>
        <w:separator/>
      </w:r>
    </w:p>
  </w:footnote>
  <w:footnote w:type="continuationSeparator" w:id="1">
    <w:p w:rsidR="00707C0F" w:rsidRDefault="00707C0F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8501D"/>
    <w:rsid w:val="0009556D"/>
    <w:rsid w:val="000A31C3"/>
    <w:rsid w:val="000C120D"/>
    <w:rsid w:val="000C1A32"/>
    <w:rsid w:val="00102816"/>
    <w:rsid w:val="0012000E"/>
    <w:rsid w:val="00130E49"/>
    <w:rsid w:val="001476E6"/>
    <w:rsid w:val="00160AE9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F2E6E"/>
    <w:rsid w:val="001F4A46"/>
    <w:rsid w:val="002003E2"/>
    <w:rsid w:val="00202039"/>
    <w:rsid w:val="00212BB3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A58E5"/>
    <w:rsid w:val="003B0CBA"/>
    <w:rsid w:val="003C7B39"/>
    <w:rsid w:val="003D5370"/>
    <w:rsid w:val="003D555C"/>
    <w:rsid w:val="003F4D60"/>
    <w:rsid w:val="00405277"/>
    <w:rsid w:val="00406E0A"/>
    <w:rsid w:val="00440E2C"/>
    <w:rsid w:val="00440FAF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FE4"/>
    <w:rsid w:val="004C181A"/>
    <w:rsid w:val="004D38E0"/>
    <w:rsid w:val="004F2B23"/>
    <w:rsid w:val="00506600"/>
    <w:rsid w:val="00513FFD"/>
    <w:rsid w:val="00522D9B"/>
    <w:rsid w:val="005244EF"/>
    <w:rsid w:val="00530666"/>
    <w:rsid w:val="005333D4"/>
    <w:rsid w:val="005403D8"/>
    <w:rsid w:val="005573EF"/>
    <w:rsid w:val="0057700D"/>
    <w:rsid w:val="0058708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7138"/>
    <w:rsid w:val="00871E73"/>
    <w:rsid w:val="008A36E5"/>
    <w:rsid w:val="008A5AC2"/>
    <w:rsid w:val="008C2FD5"/>
    <w:rsid w:val="008C5278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86A17"/>
    <w:rsid w:val="009A1158"/>
    <w:rsid w:val="009C34ED"/>
    <w:rsid w:val="009C5964"/>
    <w:rsid w:val="009C6789"/>
    <w:rsid w:val="009C6F99"/>
    <w:rsid w:val="009E294D"/>
    <w:rsid w:val="009E66DD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27D0"/>
    <w:rsid w:val="00B1681D"/>
    <w:rsid w:val="00B55DF2"/>
    <w:rsid w:val="00B61515"/>
    <w:rsid w:val="00B619F8"/>
    <w:rsid w:val="00B61D27"/>
    <w:rsid w:val="00B63EB8"/>
    <w:rsid w:val="00B84B20"/>
    <w:rsid w:val="00B85680"/>
    <w:rsid w:val="00BA1023"/>
    <w:rsid w:val="00BB238E"/>
    <w:rsid w:val="00BD3858"/>
    <w:rsid w:val="00BD7408"/>
    <w:rsid w:val="00C017E6"/>
    <w:rsid w:val="00C05E66"/>
    <w:rsid w:val="00C132D9"/>
    <w:rsid w:val="00C1557D"/>
    <w:rsid w:val="00C16088"/>
    <w:rsid w:val="00C26433"/>
    <w:rsid w:val="00C277E0"/>
    <w:rsid w:val="00C94387"/>
    <w:rsid w:val="00C94D95"/>
    <w:rsid w:val="00CB051C"/>
    <w:rsid w:val="00CC4DFC"/>
    <w:rsid w:val="00CC6383"/>
    <w:rsid w:val="00CD2C49"/>
    <w:rsid w:val="00CE2B51"/>
    <w:rsid w:val="00CF086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7B14"/>
    <w:rsid w:val="00D8356A"/>
    <w:rsid w:val="00D83A0C"/>
    <w:rsid w:val="00DB08F9"/>
    <w:rsid w:val="00DB46EB"/>
    <w:rsid w:val="00DC4FC1"/>
    <w:rsid w:val="00DC5454"/>
    <w:rsid w:val="00DD1BED"/>
    <w:rsid w:val="00E0173A"/>
    <w:rsid w:val="00E07AEA"/>
    <w:rsid w:val="00E267D1"/>
    <w:rsid w:val="00E305FB"/>
    <w:rsid w:val="00E311F1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14217"/>
    <w:rsid w:val="00F25BC9"/>
    <w:rsid w:val="00F336DE"/>
    <w:rsid w:val="00F37DA5"/>
    <w:rsid w:val="00F40D2C"/>
    <w:rsid w:val="00F51D59"/>
    <w:rsid w:val="00F63873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makro\hunvar-september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Makro%20Hunvar-september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0.10667234411110812"/>
          <c:y val="0.18800925925925926"/>
          <c:w val="0.86658627768413066"/>
          <c:h val="0.67279345290172254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2.7667659560637842E-3"/>
                  <c:y val="7.870370370370380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outEnd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</c:dLbl>
            <c:dLbl>
              <c:idx val="3"/>
              <c:layout>
                <c:manualLayout>
                  <c:x val="0"/>
                  <c:y val="-8.333333333333350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inEnd"/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>
                  <c:v>104.8</c:v>
                </c:pt>
                <c:pt idx="1">
                  <c:v>103.8</c:v>
                </c:pt>
                <c:pt idx="2">
                  <c:v>101.6</c:v>
                </c:pt>
                <c:pt idx="3">
                  <c:v>105.1</c:v>
                </c:pt>
              </c:numCache>
            </c:numRef>
          </c:val>
        </c:ser>
        <c:gapWidth val="75"/>
        <c:overlap val="40"/>
        <c:axId val="80330752"/>
        <c:axId val="80365056"/>
      </c:barChart>
      <c:catAx>
        <c:axId val="8033075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0365056"/>
        <c:crosses val="autoZero"/>
        <c:auto val="1"/>
        <c:lblAlgn val="ctr"/>
        <c:lblOffset val="100"/>
      </c:catAx>
      <c:valAx>
        <c:axId val="8036505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03307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159979585342406E-2"/>
          <c:y val="0.15360278987992346"/>
          <c:w val="0.95338912245901664"/>
          <c:h val="0.74957839913112967"/>
        </c:manualLayout>
      </c:layout>
      <c:barChart>
        <c:barDir val="col"/>
        <c:grouping val="clustered"/>
        <c:ser>
          <c:idx val="0"/>
          <c:order val="0"/>
          <c:tx>
            <c:strRef>
              <c:f>Sheet1!$B$197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Sheet1!$C$197:$F$197</c:f>
              <c:numCache>
                <c:formatCode>#,##0.0;[Red]#,##0.0</c:formatCode>
                <c:ptCount val="4"/>
                <c:pt idx="0">
                  <c:v>70800</c:v>
                </c:pt>
                <c:pt idx="1">
                  <c:v>87569</c:v>
                </c:pt>
                <c:pt idx="2">
                  <c:v>96106</c:v>
                </c:pt>
                <c:pt idx="3">
                  <c:v>88609</c:v>
                </c:pt>
              </c:numCache>
            </c:numRef>
          </c:val>
        </c:ser>
        <c:ser>
          <c:idx val="1"/>
          <c:order val="1"/>
          <c:tx>
            <c:strRef>
              <c:f>Sheet1!$B$198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5.483632651880447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25448977820624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967265303760881E-2"/>
                  <c:y val="-4.016432146650022E-17"/>
                </c:manualLayout>
              </c:layout>
              <c:showVal val="1"/>
            </c:dLbl>
            <c:dLbl>
              <c:idx val="3"/>
              <c:layout>
                <c:manualLayout>
                  <c:x val="8.2254489778206714E-3"/>
                  <c:y val="-4.01643214665002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73,621.0</a:t>
                    </a:r>
                  </a:p>
                  <a:p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Sheet1!$C$198:$F$198</c:f>
              <c:numCache>
                <c:formatCode>#,##0.0;[Red]#,##0.0</c:formatCode>
                <c:ptCount val="4"/>
                <c:pt idx="0">
                  <c:v>65221</c:v>
                </c:pt>
                <c:pt idx="1">
                  <c:v>74575</c:v>
                </c:pt>
                <c:pt idx="2">
                  <c:v>78077</c:v>
                </c:pt>
                <c:pt idx="3">
                  <c:v>74033</c:v>
                </c:pt>
              </c:numCache>
            </c:numRef>
          </c:val>
        </c:ser>
        <c:dLbls>
          <c:showVal val="1"/>
        </c:dLbls>
        <c:overlap val="-25"/>
        <c:axId val="112548096"/>
        <c:axId val="112558080"/>
      </c:barChart>
      <c:catAx>
        <c:axId val="1125480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558080"/>
        <c:crosses val="autoZero"/>
        <c:auto val="1"/>
        <c:lblAlgn val="ctr"/>
        <c:lblOffset val="100"/>
      </c:catAx>
      <c:valAx>
        <c:axId val="112558080"/>
        <c:scaling>
          <c:orientation val="minMax"/>
        </c:scaling>
        <c:delete val="1"/>
        <c:axPos val="l"/>
        <c:numFmt formatCode="#,##0.0;[Red]#,##0.0" sourceLinked="1"/>
        <c:tickLblPos val="nextTo"/>
        <c:crossAx val="112548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2496136629673121E-2"/>
          <c:y val="2.6289677747892388E-2"/>
          <c:w val="0.9322656945236647"/>
          <c:h val="0.1930373065017619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  <c:layout>
        <c:manualLayout>
          <c:xMode val="edge"/>
          <c:yMode val="edge"/>
          <c:x val="0.10290120576003862"/>
          <c:y val="1.6046015423758525E-2"/>
        </c:manualLayout>
      </c:layout>
    </c:title>
    <c:plotArea>
      <c:layout>
        <c:manualLayout>
          <c:layoutTarget val="inner"/>
          <c:xMode val="edge"/>
          <c:yMode val="edge"/>
          <c:x val="1.3996768026700747E-2"/>
          <c:y val="0.18392745179483258"/>
          <c:w val="0.97175418293089677"/>
          <c:h val="0.67540269023451638"/>
        </c:manualLayout>
      </c:layout>
      <c:barChart>
        <c:barDir val="col"/>
        <c:grouping val="clustered"/>
        <c:ser>
          <c:idx val="0"/>
          <c:order val="0"/>
          <c:tx>
            <c:strRef>
              <c:f>Sheet1!$B$217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184,992.0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Sheet1!$C$216:$F$216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Sheet1!$C$217:$F$217</c:f>
              <c:numCache>
                <c:formatCode>#,##0.0</c:formatCode>
                <c:ptCount val="4"/>
                <c:pt idx="0">
                  <c:v>172347</c:v>
                </c:pt>
                <c:pt idx="1">
                  <c:v>183116</c:v>
                </c:pt>
                <c:pt idx="2">
                  <c:v>187439</c:v>
                </c:pt>
                <c:pt idx="3">
                  <c:v>191199</c:v>
                </c:pt>
              </c:numCache>
            </c:numRef>
          </c:val>
        </c:ser>
        <c:dLbls>
          <c:showVal val="1"/>
        </c:dLbls>
        <c:overlap val="-25"/>
        <c:axId val="112577920"/>
        <c:axId val="136643712"/>
      </c:barChart>
      <c:catAx>
        <c:axId val="11257792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6643712"/>
        <c:crosses val="autoZero"/>
        <c:auto val="1"/>
        <c:lblAlgn val="ctr"/>
        <c:lblOffset val="100"/>
      </c:catAx>
      <c:valAx>
        <c:axId val="136643712"/>
        <c:scaling>
          <c:orientation val="minMax"/>
        </c:scaling>
        <c:delete val="1"/>
        <c:axPos val="l"/>
        <c:numFmt formatCode="#,##0.0" sourceLinked="1"/>
        <c:tickLblPos val="nextTo"/>
        <c:crossAx val="1125779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59723216417"/>
          <c:y val="1.3888888888888935E-2"/>
        </c:manualLayout>
      </c:layout>
    </c:title>
    <c:plotArea>
      <c:layout>
        <c:manualLayout>
          <c:layoutTarget val="inner"/>
          <c:xMode val="edge"/>
          <c:yMode val="edge"/>
          <c:x val="5.3154943833885423E-4"/>
          <c:y val="0.38002965985921905"/>
          <c:w val="0.97898777530538172"/>
          <c:h val="0.51783745196855868"/>
        </c:manualLayout>
      </c:layout>
      <c:barChart>
        <c:barDir val="col"/>
        <c:grouping val="clustered"/>
        <c:ser>
          <c:idx val="0"/>
          <c:order val="0"/>
          <c:tx>
            <c:strRef>
              <c:f>Sheet1!$C$236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Sheet1!$C$237:$C$239</c:f>
              <c:numCache>
                <c:formatCode>#,##0</c:formatCode>
                <c:ptCount val="3"/>
                <c:pt idx="0">
                  <c:v>1618159.9919404981</c:v>
                </c:pt>
                <c:pt idx="1">
                  <c:v>654166.43340874743</c:v>
                </c:pt>
                <c:pt idx="2">
                  <c:v>963993.55853175011</c:v>
                </c:pt>
              </c:numCache>
            </c:numRef>
          </c:val>
        </c:ser>
        <c:ser>
          <c:idx val="1"/>
          <c:order val="1"/>
          <c:tx>
            <c:strRef>
              <c:f>Sheet1!$D$236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Sheet1!$D$237:$D$239</c:f>
              <c:numCache>
                <c:formatCode>#,##0</c:formatCode>
                <c:ptCount val="3"/>
                <c:pt idx="0">
                  <c:v>1191412.8885356155</c:v>
                </c:pt>
                <c:pt idx="1">
                  <c:v>535365.45141752646</c:v>
                </c:pt>
                <c:pt idx="2">
                  <c:v>656047.43711808987</c:v>
                </c:pt>
              </c:numCache>
            </c:numRef>
          </c:val>
        </c:ser>
        <c:ser>
          <c:idx val="2"/>
          <c:order val="2"/>
          <c:tx>
            <c:strRef>
              <c:f>Sheet1!$E$236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Sheet1!$E$237:$E$239</c:f>
              <c:numCache>
                <c:formatCode>#,##0.00;[Red]#,##0.00</c:formatCode>
                <c:ptCount val="3"/>
                <c:pt idx="0" formatCode="#,##0">
                  <c:v>1061209.2456048646</c:v>
                </c:pt>
                <c:pt idx="1">
                  <c:v>565069.53494624048</c:v>
                </c:pt>
                <c:pt idx="2">
                  <c:v>496139.71065862552</c:v>
                </c:pt>
              </c:numCache>
            </c:numRef>
          </c:val>
        </c:ser>
        <c:ser>
          <c:idx val="3"/>
          <c:order val="3"/>
          <c:tx>
            <c:strRef>
              <c:f>Sheet1!$F$236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Sheet1!$F$237:$F$239</c:f>
              <c:numCache>
                <c:formatCode>#,##0.00;[Red]#,##0.00</c:formatCode>
                <c:ptCount val="3"/>
                <c:pt idx="0" formatCode="#,##0">
                  <c:v>1234741.9374216849</c:v>
                </c:pt>
                <c:pt idx="1">
                  <c:v>698511.58078678651</c:v>
                </c:pt>
                <c:pt idx="2">
                  <c:v>536230.35663490079</c:v>
                </c:pt>
              </c:numCache>
            </c:numRef>
          </c:val>
        </c:ser>
        <c:dLbls>
          <c:showVal val="1"/>
        </c:dLbls>
        <c:overlap val="-25"/>
        <c:axId val="136688000"/>
        <c:axId val="136689536"/>
      </c:barChart>
      <c:catAx>
        <c:axId val="136688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6689536"/>
        <c:crosses val="autoZero"/>
        <c:auto val="1"/>
        <c:lblAlgn val="ctr"/>
        <c:lblOffset val="100"/>
      </c:catAx>
      <c:valAx>
        <c:axId val="136689536"/>
        <c:scaling>
          <c:orientation val="minMax"/>
        </c:scaling>
        <c:delete val="1"/>
        <c:axPos val="l"/>
        <c:numFmt formatCode="#,##0" sourceLinked="1"/>
        <c:tickLblPos val="nextTo"/>
        <c:crossAx val="136688000"/>
        <c:crosses val="autoZero"/>
        <c:crossBetween val="between"/>
      </c:valAx>
      <c:spPr>
        <a:ln w="6350"/>
      </c:spPr>
    </c:plotArea>
    <c:legend>
      <c:legendPos val="t"/>
      <c:layout>
        <c:manualLayout>
          <c:xMode val="edge"/>
          <c:yMode val="edge"/>
          <c:x val="8.0762842558009841E-3"/>
          <c:y val="0.17201865507226277"/>
          <c:w val="0.96793676195287237"/>
          <c:h val="8.7698739219083444E-2"/>
        </c:manualLayout>
      </c:layout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  <c:layout>
        <c:manualLayout>
          <c:xMode val="edge"/>
          <c:yMode val="edge"/>
          <c:x val="0.14410826903179791"/>
          <c:y val="1.6058904567746762E-2"/>
        </c:manualLayout>
      </c:layout>
    </c:title>
    <c:plotArea>
      <c:layout>
        <c:manualLayout>
          <c:layoutTarget val="inner"/>
          <c:xMode val="edge"/>
          <c:yMode val="edge"/>
          <c:x val="0"/>
          <c:y val="0.40819041692791452"/>
          <c:w val="0.95206576974413348"/>
          <c:h val="0.48294400161723638"/>
        </c:manualLayout>
      </c:layout>
      <c:barChart>
        <c:barDir val="col"/>
        <c:grouping val="clustered"/>
        <c:ser>
          <c:idx val="0"/>
          <c:order val="0"/>
          <c:tx>
            <c:strRef>
              <c:f>Sheet1!$C$257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Sheet1!$C$258:$C$260</c:f>
              <c:numCache>
                <c:formatCode>#,##0</c:formatCode>
                <c:ptCount val="3"/>
                <c:pt idx="0">
                  <c:v>663998.52642892697</c:v>
                </c:pt>
                <c:pt idx="1">
                  <c:v>268692.17711160885</c:v>
                </c:pt>
                <c:pt idx="2">
                  <c:v>395306.34931731678</c:v>
                </c:pt>
              </c:numCache>
            </c:numRef>
          </c:val>
        </c:ser>
        <c:ser>
          <c:idx val="1"/>
          <c:order val="1"/>
          <c:tx>
            <c:strRef>
              <c:f>Sheet1!$D$257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Sheet1!$D$258:$D$260</c:f>
              <c:numCache>
                <c:formatCode>#,##0</c:formatCode>
                <c:ptCount val="3"/>
                <c:pt idx="0">
                  <c:v>569419.73963387997</c:v>
                </c:pt>
                <c:pt idx="1">
                  <c:v>255798.22677352108</c:v>
                </c:pt>
                <c:pt idx="2">
                  <c:v>313621.51286035823</c:v>
                </c:pt>
              </c:numCache>
            </c:numRef>
          </c:val>
        </c:ser>
        <c:ser>
          <c:idx val="2"/>
          <c:order val="2"/>
          <c:tx>
            <c:strRef>
              <c:f>Sheet1!$E$257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Sheet1!$E$258:$E$260</c:f>
              <c:numCache>
                <c:formatCode>#,##0.00;[Red]#,##0.00</c:formatCode>
                <c:ptCount val="3"/>
                <c:pt idx="0">
                  <c:v>509427.21560785972</c:v>
                </c:pt>
                <c:pt idx="1">
                  <c:v>271748.73317072238</c:v>
                </c:pt>
                <c:pt idx="2">
                  <c:v>237678.48243713746</c:v>
                </c:pt>
              </c:numCache>
            </c:numRef>
          </c:val>
        </c:ser>
        <c:ser>
          <c:idx val="3"/>
          <c:order val="3"/>
          <c:tx>
            <c:strRef>
              <c:f>Sheet1!$F$257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Sheet1!$F$258:$F$260</c:f>
              <c:numCache>
                <c:formatCode>#,##0.00;[Red]#,##0.00</c:formatCode>
                <c:ptCount val="3"/>
                <c:pt idx="0">
                  <c:v>595088.24946752295</c:v>
                </c:pt>
                <c:pt idx="1">
                  <c:v>336892.28838167898</c:v>
                </c:pt>
                <c:pt idx="2">
                  <c:v>258195.9610858442</c:v>
                </c:pt>
              </c:numCache>
            </c:numRef>
          </c:val>
        </c:ser>
        <c:dLbls>
          <c:showVal val="1"/>
        </c:dLbls>
        <c:overlap val="-25"/>
        <c:axId val="136935296"/>
        <c:axId val="136936832"/>
      </c:barChart>
      <c:catAx>
        <c:axId val="136935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6936832"/>
        <c:crosses val="autoZero"/>
        <c:auto val="1"/>
        <c:lblAlgn val="ctr"/>
        <c:lblOffset val="100"/>
      </c:catAx>
      <c:valAx>
        <c:axId val="136936832"/>
        <c:scaling>
          <c:orientation val="minMax"/>
        </c:scaling>
        <c:delete val="1"/>
        <c:axPos val="l"/>
        <c:numFmt formatCode="#,##0" sourceLinked="1"/>
        <c:tickLblPos val="nextTo"/>
        <c:crossAx val="136935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7240243280336251"/>
          <c:w val="0.99680266077263147"/>
          <c:h val="9.3672721299980027E-2"/>
        </c:manualLayout>
      </c:layout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0990230387868206"/>
          <c:w val="0.93888888888888977"/>
          <c:h val="0.78917191601049963"/>
        </c:manualLayout>
      </c:layout>
      <c:barChart>
        <c:barDir val="col"/>
        <c:grouping val="clustered"/>
        <c:ser>
          <c:idx val="0"/>
          <c:order val="0"/>
          <c:tx>
            <c:strRef>
              <c:f>Sheet1!$C$279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1944444444444525"/>
                </c:manualLayout>
              </c:layout>
              <c:showVal val="1"/>
            </c:dLbl>
            <c:dLbl>
              <c:idx val="1"/>
              <c:layout>
                <c:manualLayout>
                  <c:x val="-5.092533763208031E-17"/>
                  <c:y val="0.2916666666666672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500000000000001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Sheet1!$B$280:$B$282</c:f>
              <c:strCache>
                <c:ptCount val="3"/>
                <c:pt idx="0">
                  <c:v>Պետական բյուջեի եկամուտներ</c:v>
                </c:pt>
                <c:pt idx="1">
                  <c:v>Պետական բյուջեի ծախսեր</c:v>
                </c:pt>
                <c:pt idx="2">
                  <c:v>Պակասուրդ (-)/հավելուրդ (+)</c:v>
                </c:pt>
              </c:strCache>
            </c:strRef>
          </c:cat>
          <c:val>
            <c:numRef>
              <c:f>Sheet1!$C$280:$C$282</c:f>
              <c:numCache>
                <c:formatCode>#,##0.00</c:formatCode>
                <c:ptCount val="3"/>
                <c:pt idx="0">
                  <c:v>827095.5</c:v>
                </c:pt>
                <c:pt idx="1">
                  <c:v>834287.7</c:v>
                </c:pt>
                <c:pt idx="2">
                  <c:v>-7192.3</c:v>
                </c:pt>
              </c:numCache>
            </c:numRef>
          </c:val>
        </c:ser>
        <c:ser>
          <c:idx val="1"/>
          <c:order val="1"/>
          <c:tx>
            <c:strRef>
              <c:f>Sheet1!$D$279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0092592592592676"/>
                </c:manualLayout>
              </c:layout>
              <c:showVal val="1"/>
            </c:dLbl>
            <c:dLbl>
              <c:idx val="1"/>
              <c:layout>
                <c:manualLayout>
                  <c:x val="-5.092533763208031E-17"/>
                  <c:y val="0.34259259259259262"/>
                </c:manualLayout>
              </c:layout>
              <c:showVal val="1"/>
            </c:dLbl>
            <c:dLbl>
              <c:idx val="2"/>
              <c:layout>
                <c:manualLayout>
                  <c:x val="2.7777777777777887E-3"/>
                  <c:y val="0.2314814814814819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Sheet1!$B$280:$B$282</c:f>
              <c:strCache>
                <c:ptCount val="3"/>
                <c:pt idx="0">
                  <c:v>Պետական բյուջեի եկամուտներ</c:v>
                </c:pt>
                <c:pt idx="1">
                  <c:v>Պետական բյուջեի ծախսեր</c:v>
                </c:pt>
                <c:pt idx="2">
                  <c:v>Պակասուրդ (-)/հավելուրդ (+)</c:v>
                </c:pt>
              </c:strCache>
            </c:strRef>
          </c:cat>
          <c:val>
            <c:numRef>
              <c:f>Sheet1!$D$280:$D$282</c:f>
              <c:numCache>
                <c:formatCode>#,##0.00</c:formatCode>
                <c:ptCount val="3"/>
                <c:pt idx="0">
                  <c:v>842451.2</c:v>
                </c:pt>
                <c:pt idx="1">
                  <c:v>957987.8</c:v>
                </c:pt>
                <c:pt idx="2">
                  <c:v>-115536</c:v>
                </c:pt>
              </c:numCache>
            </c:numRef>
          </c:val>
        </c:ser>
        <c:ser>
          <c:idx val="2"/>
          <c:order val="2"/>
          <c:tx>
            <c:strRef>
              <c:f>Sheet1!$E$279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0092592592592676"/>
                </c:manualLayout>
              </c:layout>
              <c:showVal val="1"/>
            </c:dLbl>
            <c:dLbl>
              <c:idx val="1"/>
              <c:layout>
                <c:manualLayout>
                  <c:x val="-2.7777777777777887E-3"/>
                  <c:y val="0.34259259259259262"/>
                </c:manualLayout>
              </c:layout>
              <c:showVal val="1"/>
            </c:dLbl>
            <c:dLbl>
              <c:idx val="2"/>
              <c:layout>
                <c:manualLayout>
                  <c:x val="-2.7777777777777887E-3"/>
                  <c:y val="0.2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Sheet1!$B$280:$B$282</c:f>
              <c:strCache>
                <c:ptCount val="3"/>
                <c:pt idx="0">
                  <c:v>Պետական բյուջեի եկամուտներ</c:v>
                </c:pt>
                <c:pt idx="1">
                  <c:v>Պետական բյուջեի ծախսեր</c:v>
                </c:pt>
                <c:pt idx="2">
                  <c:v>Պակասուրդ (-)/հավելուրդ (+)</c:v>
                </c:pt>
              </c:strCache>
            </c:strRef>
          </c:cat>
          <c:val>
            <c:numRef>
              <c:f>Sheet1!$E$280:$E$282</c:f>
              <c:numCache>
                <c:formatCode>#,##0.00</c:formatCode>
                <c:ptCount val="3"/>
                <c:pt idx="0">
                  <c:v>845969</c:v>
                </c:pt>
                <c:pt idx="1">
                  <c:v>990438.2</c:v>
                </c:pt>
                <c:pt idx="2">
                  <c:v>-144469.20000000001</c:v>
                </c:pt>
              </c:numCache>
            </c:numRef>
          </c:val>
        </c:ser>
        <c:ser>
          <c:idx val="3"/>
          <c:order val="3"/>
          <c:tx>
            <c:strRef>
              <c:f>Sheet1!$F$279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3333333333333333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453703703703704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Sheet1!$B$280:$B$282</c:f>
              <c:strCache>
                <c:ptCount val="3"/>
                <c:pt idx="0">
                  <c:v>Պետական բյուջեի եկամուտներ</c:v>
                </c:pt>
                <c:pt idx="1">
                  <c:v>Պետական բյուջեի ծախսեր</c:v>
                </c:pt>
                <c:pt idx="2">
                  <c:v>Պակասուրդ (-)/հավելուրդ (+)</c:v>
                </c:pt>
              </c:strCache>
            </c:strRef>
          </c:cat>
          <c:val>
            <c:numRef>
              <c:f>Sheet1!$F$280:$F$282</c:f>
              <c:numCache>
                <c:formatCode>#,##0.00</c:formatCode>
                <c:ptCount val="3"/>
                <c:pt idx="0">
                  <c:v>888449.4</c:v>
                </c:pt>
                <c:pt idx="1">
                  <c:v>981225.4</c:v>
                </c:pt>
                <c:pt idx="2">
                  <c:v>-92776</c:v>
                </c:pt>
              </c:numCache>
            </c:numRef>
          </c:val>
        </c:ser>
        <c:dLbls>
          <c:showVal val="1"/>
        </c:dLbls>
        <c:overlap val="-25"/>
        <c:axId val="137079808"/>
        <c:axId val="137085696"/>
      </c:barChart>
      <c:catAx>
        <c:axId val="1370798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37085696"/>
        <c:crosses val="autoZero"/>
        <c:auto val="1"/>
        <c:lblAlgn val="ctr"/>
        <c:lblOffset val="100"/>
      </c:catAx>
      <c:valAx>
        <c:axId val="137085696"/>
        <c:scaling>
          <c:orientation val="minMax"/>
        </c:scaling>
        <c:delete val="1"/>
        <c:axPos val="l"/>
        <c:numFmt formatCode="#,##0.00" sourceLinked="1"/>
        <c:tickLblPos val="nextTo"/>
        <c:crossAx val="137079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5236220472441042E-3"/>
          <c:y val="0.16157407407407387"/>
          <c:w val="0.98495275590551157"/>
          <c:h val="8.2200349956255525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1427992920942855"/>
          <c:y val="0"/>
        </c:manualLayout>
      </c:layout>
    </c:title>
    <c:plotArea>
      <c:layout>
        <c:manualLayout>
          <c:layoutTarget val="inner"/>
          <c:xMode val="edge"/>
          <c:yMode val="edge"/>
          <c:x val="2.7712078942212872E-3"/>
          <c:y val="0.14907502281620236"/>
          <c:w val="0.99722879210577875"/>
          <c:h val="0.85092497718380011"/>
        </c:manualLayout>
      </c:layout>
      <c:barChart>
        <c:barDir val="col"/>
        <c:grouping val="stacked"/>
        <c:ser>
          <c:idx val="0"/>
          <c:order val="0"/>
          <c:tx>
            <c:strRef>
              <c:f>Sheet1!$B$302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Sheet1!$C$302:$F$302</c:f>
              <c:numCache>
                <c:formatCode>#,##0.00</c:formatCode>
                <c:ptCount val="4"/>
                <c:pt idx="0">
                  <c:v>41109.800000000003</c:v>
                </c:pt>
                <c:pt idx="1">
                  <c:v>-5741.8</c:v>
                </c:pt>
                <c:pt idx="2">
                  <c:v>133810.29999999999</c:v>
                </c:pt>
                <c:pt idx="3">
                  <c:v>103205.4</c:v>
                </c:pt>
              </c:numCache>
            </c:numRef>
          </c:val>
        </c:ser>
        <c:ser>
          <c:idx val="1"/>
          <c:order val="1"/>
          <c:tx>
            <c:strRef>
              <c:f>Sheet1!$B$303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6.566843351235292E-6"/>
                  <c:y val="4.904329134890191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Sheet1!$C$303:$F$303</c:f>
              <c:numCache>
                <c:formatCode>#,##0.00</c:formatCode>
                <c:ptCount val="4"/>
                <c:pt idx="0">
                  <c:v>-33917.5</c:v>
                </c:pt>
                <c:pt idx="1">
                  <c:v>121278.39999999999</c:v>
                </c:pt>
                <c:pt idx="2">
                  <c:v>10658.9</c:v>
                </c:pt>
                <c:pt idx="3">
                  <c:v>-10429.4</c:v>
                </c:pt>
              </c:numCache>
            </c:numRef>
          </c:val>
        </c:ser>
        <c:dLbls>
          <c:showVal val="1"/>
        </c:dLbls>
        <c:gapWidth val="95"/>
        <c:overlap val="100"/>
        <c:axId val="112277376"/>
        <c:axId val="112278912"/>
      </c:barChart>
      <c:catAx>
        <c:axId val="112277376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750" b="1">
                <a:latin typeface="GHEA Grapalat" pitchFamily="50" charset="0"/>
              </a:defRPr>
            </a:pPr>
            <a:endParaRPr lang="en-US"/>
          </a:p>
        </c:txPr>
        <c:crossAx val="112278912"/>
        <c:crosses val="autoZero"/>
        <c:auto val="1"/>
        <c:lblAlgn val="ctr"/>
        <c:lblOffset val="100"/>
      </c:catAx>
      <c:valAx>
        <c:axId val="112278912"/>
        <c:scaling>
          <c:orientation val="minMax"/>
        </c:scaling>
        <c:delete val="1"/>
        <c:axPos val="l"/>
        <c:numFmt formatCode="#,##0.00" sourceLinked="1"/>
        <c:tickLblPos val="nextTo"/>
        <c:crossAx val="112277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8.389059880782708E-2"/>
          <c:w val="0.99488757655293059"/>
          <c:h val="0.16048993875765541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50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  <c:layout>
        <c:manualLayout>
          <c:xMode val="edge"/>
          <c:yMode val="edge"/>
          <c:x val="0.11463115773830826"/>
          <c:y val="0"/>
        </c:manualLayout>
      </c:layout>
    </c:title>
    <c:plotArea>
      <c:layout>
        <c:manualLayout>
          <c:layoutTarget val="inner"/>
          <c:xMode val="edge"/>
          <c:yMode val="edge"/>
          <c:x val="2.9759774498876942E-2"/>
          <c:y val="0.42100090818886787"/>
          <c:w val="0.94048045100224487"/>
          <c:h val="0.43870382992564616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918971.4</c:v>
                </c:pt>
                <c:pt idx="1">
                  <c:v>701085</c:v>
                </c:pt>
                <c:pt idx="2">
                  <c:v>244103.8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92434439545138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948317.6</c:v>
                </c:pt>
                <c:pt idx="1">
                  <c:v>710403.2</c:v>
                </c:pt>
                <c:pt idx="2">
                  <c:v>258890.5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-2.7054340453524627E-3"/>
                  <c:y val="1.856579252726854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1028005.3</c:v>
                </c:pt>
                <c:pt idx="1">
                  <c:v>654606.9</c:v>
                </c:pt>
                <c:pt idx="2">
                  <c:v>236111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6579252726851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924344395451383E-2"/>
                </c:manualLayout>
              </c:layout>
              <c:showVal val="1"/>
            </c:dLbl>
            <c:dLbl>
              <c:idx val="2"/>
              <c:layout>
                <c:manualLayout>
                  <c:x val="-2.7054340453524571E-3"/>
                  <c:y val="9.282896263634278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1185151.2</c:v>
                </c:pt>
                <c:pt idx="1">
                  <c:v>582511</c:v>
                </c:pt>
                <c:pt idx="2">
                  <c:v>220316.6</c:v>
                </c:pt>
              </c:numCache>
            </c:numRef>
          </c:val>
        </c:ser>
        <c:dLbls>
          <c:showVal val="1"/>
        </c:dLbls>
        <c:overlap val="-25"/>
        <c:axId val="80934784"/>
        <c:axId val="80959744"/>
      </c:barChart>
      <c:catAx>
        <c:axId val="809347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0959744"/>
        <c:crosses val="autoZero"/>
        <c:auto val="1"/>
        <c:lblAlgn val="ctr"/>
        <c:lblOffset val="100"/>
      </c:catAx>
      <c:valAx>
        <c:axId val="80959744"/>
        <c:scaling>
          <c:orientation val="minMax"/>
        </c:scaling>
        <c:delete val="1"/>
        <c:axPos val="l"/>
        <c:numFmt formatCode="#,##0.0" sourceLinked="1"/>
        <c:tickLblPos val="nextTo"/>
        <c:crossAx val="809347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009694400987089E-2"/>
          <c:y val="0.18969598514736649"/>
          <c:w val="0.85980611198025847"/>
          <c:h val="8.7420030955169828E-2"/>
        </c:manualLayout>
      </c:layout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  <c:layout>
        <c:manualLayout>
          <c:xMode val="edge"/>
          <c:yMode val="edge"/>
          <c:x val="0.13516695069130241"/>
          <c:y val="0"/>
        </c:manualLayout>
      </c:layout>
    </c:title>
    <c:plotArea>
      <c:layout>
        <c:manualLayout>
          <c:layoutTarget val="inner"/>
          <c:xMode val="edge"/>
          <c:yMode val="edge"/>
          <c:x val="3.2070840532797833E-4"/>
          <c:y val="0.24739574219889218"/>
          <c:w val="0.97983029692765744"/>
          <c:h val="0.61158573928258964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77777777777785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1642472.3</c:v>
                </c:pt>
                <c:pt idx="1">
                  <c:v>794881.1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-5.637773079633532E-3"/>
                  <c:y val="0.2824074074074073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1620631.9</c:v>
                </c:pt>
                <c:pt idx="1">
                  <c:v>850811.7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870370370370370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1563001.5</c:v>
                </c:pt>
                <c:pt idx="1">
                  <c:v>919716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dLbl>
              <c:idx val="0"/>
              <c:layout>
                <c:manualLayout>
                  <c:x val="-5.6377730796336083E-3"/>
                  <c:y val="0.3055555555555555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1790882.8</c:v>
                </c:pt>
                <c:pt idx="1">
                  <c:v>1041566.1</c:v>
                </c:pt>
              </c:numCache>
            </c:numRef>
          </c:val>
        </c:ser>
        <c:dLbls>
          <c:showVal val="1"/>
        </c:dLbls>
        <c:overlap val="-25"/>
        <c:axId val="81345152"/>
        <c:axId val="81382016"/>
      </c:barChart>
      <c:catAx>
        <c:axId val="81345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1382016"/>
        <c:crosses val="autoZero"/>
        <c:auto val="1"/>
        <c:lblAlgn val="ctr"/>
        <c:lblOffset val="100"/>
      </c:catAx>
      <c:valAx>
        <c:axId val="81382016"/>
        <c:scaling>
          <c:orientation val="minMax"/>
        </c:scaling>
        <c:delete val="1"/>
        <c:axPos val="l"/>
        <c:numFmt formatCode="#,##0.0" sourceLinked="1"/>
        <c:tickLblPos val="nextTo"/>
        <c:crossAx val="81345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770947420955267E-2"/>
          <c:y val="0.13379629629629664"/>
          <c:w val="0.88053919430140659"/>
          <c:h val="0.1182290755322252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  <c:layout>
        <c:manualLayout>
          <c:xMode val="edge"/>
          <c:yMode val="edge"/>
          <c:x val="0.13789941778814846"/>
          <c:y val="0"/>
        </c:manualLayout>
      </c:layout>
    </c:title>
    <c:plotArea>
      <c:layout>
        <c:manualLayout>
          <c:layoutTarget val="inner"/>
          <c:xMode val="edge"/>
          <c:yMode val="edge"/>
          <c:x val="2.9739659826828756E-2"/>
          <c:y val="0.32802347623213818"/>
          <c:w val="0.94052068034634251"/>
          <c:h val="0.50389034703995339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101.7</c:v>
                </c:pt>
                <c:pt idx="1">
                  <c:v>106.9</c:v>
                </c:pt>
                <c:pt idx="2">
                  <c:v>97.6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104.8</c:v>
                </c:pt>
                <c:pt idx="1">
                  <c:v>111.3</c:v>
                </c:pt>
                <c:pt idx="2">
                  <c:v>100.1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107.1</c:v>
                </c:pt>
                <c:pt idx="1">
                  <c:v>97.4</c:v>
                </c:pt>
                <c:pt idx="2">
                  <c:v>90.7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111.9</c:v>
                </c:pt>
                <c:pt idx="1">
                  <c:v>90.1</c:v>
                </c:pt>
                <c:pt idx="2">
                  <c:v>93.6</c:v>
                </c:pt>
              </c:numCache>
            </c:numRef>
          </c:val>
        </c:ser>
        <c:dLbls>
          <c:showVal val="1"/>
        </c:dLbls>
        <c:overlap val="-25"/>
        <c:axId val="111443328"/>
        <c:axId val="112501120"/>
      </c:barChart>
      <c:catAx>
        <c:axId val="111443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501120"/>
        <c:crosses val="autoZero"/>
        <c:auto val="1"/>
        <c:lblAlgn val="ctr"/>
        <c:lblOffset val="100"/>
      </c:catAx>
      <c:valAx>
        <c:axId val="112501120"/>
        <c:scaling>
          <c:orientation val="minMax"/>
        </c:scaling>
        <c:delete val="1"/>
        <c:axPos val="l"/>
        <c:numFmt formatCode="0.0" sourceLinked="1"/>
        <c:tickLblPos val="nextTo"/>
        <c:crossAx val="111443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1793416444009595E-2"/>
          <c:y val="0.12453703703703704"/>
          <c:w val="0.88289492703564998"/>
          <c:h val="0.1201531058617672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  <c:layout>
        <c:manualLayout>
          <c:xMode val="edge"/>
          <c:yMode val="edge"/>
          <c:x val="0.14615647886781449"/>
          <c:y val="0"/>
        </c:manualLayout>
      </c:layout>
    </c:title>
    <c:plotArea>
      <c:layout>
        <c:manualLayout>
          <c:layoutTarget val="inner"/>
          <c:xMode val="edge"/>
          <c:yMode val="edge"/>
          <c:x val="3.0747728860936407E-2"/>
          <c:y val="0.30295129775444846"/>
          <c:w val="0.93850454227812763"/>
          <c:h val="0.57917833187518264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>
                  <c:v>105.2</c:v>
                </c:pt>
                <c:pt idx="1">
                  <c:v>106.8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94.4</c:v>
                </c:pt>
                <c:pt idx="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99.9</c:v>
                </c:pt>
                <c:pt idx="1">
                  <c:v>108.1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112.5</c:v>
                </c:pt>
                <c:pt idx="1">
                  <c:v>112.8</c:v>
                </c:pt>
              </c:numCache>
            </c:numRef>
          </c:val>
        </c:ser>
        <c:dLbls>
          <c:showVal val="1"/>
        </c:dLbls>
        <c:overlap val="-25"/>
        <c:axId val="111762048"/>
        <c:axId val="111796608"/>
      </c:barChart>
      <c:catAx>
        <c:axId val="111762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796608"/>
        <c:crosses val="autoZero"/>
        <c:auto val="1"/>
        <c:lblAlgn val="ctr"/>
        <c:lblOffset val="100"/>
      </c:catAx>
      <c:valAx>
        <c:axId val="111796608"/>
        <c:scaling>
          <c:orientation val="minMax"/>
        </c:scaling>
        <c:delete val="1"/>
        <c:axPos val="l"/>
        <c:numFmt formatCode="0.0" sourceLinked="1"/>
        <c:tickLblPos val="nextTo"/>
        <c:crossAx val="111762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5038434661076227E-2"/>
          <c:y val="0.12916666666666668"/>
          <c:w val="0.76921045246702802"/>
          <c:h val="0.146006853310002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  <c:layout>
        <c:manualLayout>
          <c:xMode val="edge"/>
          <c:yMode val="edge"/>
          <c:x val="0.28550277818256176"/>
          <c:y val="0"/>
        </c:manualLayout>
      </c:layout>
    </c:title>
    <c:plotArea>
      <c:layout>
        <c:manualLayout>
          <c:layoutTarget val="inner"/>
          <c:xMode val="edge"/>
          <c:yMode val="edge"/>
          <c:x val="3.0751295758786601E-2"/>
          <c:y val="0.27197697297573625"/>
          <c:w val="0.94967969784925865"/>
          <c:h val="0.56073067361712048"/>
        </c:manualLayout>
      </c:layout>
      <c:barChart>
        <c:barDir val="col"/>
        <c:grouping val="clustered"/>
        <c:ser>
          <c:idx val="0"/>
          <c:order val="0"/>
          <c:tx>
            <c:strRef>
              <c:f>Sheet1!$C$114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Sheet1!$C$115:$C$116</c:f>
              <c:numCache>
                <c:formatCode>0.0</c:formatCode>
                <c:ptCount val="2"/>
                <c:pt idx="0">
                  <c:v>102.9</c:v>
                </c:pt>
                <c:pt idx="1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Sheet1!$D$114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Sheet1!$D$115:$D$116</c:f>
              <c:numCache>
                <c:formatCode>0.0</c:formatCode>
                <c:ptCount val="2"/>
                <c:pt idx="0">
                  <c:v>104.7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Sheet1!$E$114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Sheet1!$E$115:$E$116</c:f>
              <c:numCache>
                <c:formatCode>0.0</c:formatCode>
                <c:ptCount val="2"/>
                <c:pt idx="0" formatCode="0.00">
                  <c:v>98.4</c:v>
                </c:pt>
                <c:pt idx="1">
                  <c:v>96.3</c:v>
                </c:pt>
              </c:numCache>
            </c:numRef>
          </c:val>
        </c:ser>
        <c:ser>
          <c:idx val="3"/>
          <c:order val="3"/>
          <c:tx>
            <c:strRef>
              <c:f>Sheet1!$F$114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Sheet1!$F$115:$F$116</c:f>
              <c:numCache>
                <c:formatCode>0.0</c:formatCode>
                <c:ptCount val="2"/>
                <c:pt idx="0">
                  <c:v>100.6</c:v>
                </c:pt>
                <c:pt idx="1">
                  <c:v>98.3</c:v>
                </c:pt>
              </c:numCache>
            </c:numRef>
          </c:val>
        </c:ser>
        <c:dLbls>
          <c:showVal val="1"/>
        </c:dLbls>
        <c:overlap val="-25"/>
        <c:axId val="112099328"/>
        <c:axId val="112100864"/>
      </c:barChart>
      <c:catAx>
        <c:axId val="112099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100864"/>
        <c:crosses val="autoZero"/>
        <c:auto val="1"/>
        <c:lblAlgn val="ctr"/>
        <c:lblOffset val="100"/>
      </c:catAx>
      <c:valAx>
        <c:axId val="112100864"/>
        <c:scaling>
          <c:orientation val="minMax"/>
        </c:scaling>
        <c:delete val="1"/>
        <c:axPos val="l"/>
        <c:numFmt formatCode="0.0" sourceLinked="1"/>
        <c:tickLblPos val="nextTo"/>
        <c:crossAx val="112099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4383364979799267E-2"/>
          <c:y val="0.10639777468706536"/>
          <c:w val="0.80284655301527863"/>
          <c:h val="0.1462099226470127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  <c:layout>
        <c:manualLayout>
          <c:xMode val="edge"/>
          <c:yMode val="edge"/>
          <c:x val="0.11533193570929418"/>
          <c:y val="1.6449408193683394E-2"/>
        </c:manualLayout>
      </c:layout>
    </c:title>
    <c:plotArea>
      <c:layout>
        <c:manualLayout>
          <c:layoutTarget val="inner"/>
          <c:xMode val="edge"/>
          <c:yMode val="edge"/>
          <c:x val="1.6771488469601709E-2"/>
          <c:y val="0.15174579058672971"/>
          <c:w val="0.9636617749825297"/>
          <c:h val="0.69169696692989091"/>
        </c:manualLayout>
      </c:layout>
      <c:barChart>
        <c:barDir val="col"/>
        <c:grouping val="clustered"/>
        <c:ser>
          <c:idx val="0"/>
          <c:order val="0"/>
          <c:tx>
            <c:strRef>
              <c:f>Sheet1!$B$137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Sheet1!$C$136:$F$136</c:f>
              <c:strCache>
                <c:ptCount val="4"/>
                <c:pt idx="0">
                  <c:v>2014թ. հունվար-սեպտեմբեր</c:v>
                </c:pt>
                <c:pt idx="1">
                  <c:v>2015թ. հունվար-սեպտեմբեր</c:v>
                </c:pt>
                <c:pt idx="2">
                  <c:v>2016թ. հունվար-սեպտեմբեր</c:v>
                </c:pt>
                <c:pt idx="3">
                  <c:v>2017թ. հունվար-սեպտեմբեր</c:v>
                </c:pt>
              </c:strCache>
            </c:strRef>
          </c:cat>
          <c:val>
            <c:numRef>
              <c:f>Sheet1!$C$137:$F$137</c:f>
              <c:numCache>
                <c:formatCode>#,##0.0</c:formatCode>
                <c:ptCount val="4"/>
                <c:pt idx="0">
                  <c:v>453953</c:v>
                </c:pt>
                <c:pt idx="1">
                  <c:v>434352</c:v>
                </c:pt>
                <c:pt idx="2">
                  <c:v>503195</c:v>
                </c:pt>
                <c:pt idx="3">
                  <c:v>565918</c:v>
                </c:pt>
              </c:numCache>
            </c:numRef>
          </c:val>
        </c:ser>
        <c:dLbls>
          <c:showVal val="1"/>
        </c:dLbls>
        <c:overlap val="-25"/>
        <c:axId val="112141824"/>
        <c:axId val="112143360"/>
      </c:barChart>
      <c:catAx>
        <c:axId val="11214182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143360"/>
        <c:crosses val="autoZero"/>
        <c:auto val="1"/>
        <c:lblAlgn val="ctr"/>
        <c:lblOffset val="100"/>
      </c:catAx>
      <c:valAx>
        <c:axId val="112143360"/>
        <c:scaling>
          <c:orientation val="minMax"/>
        </c:scaling>
        <c:delete val="1"/>
        <c:axPos val="l"/>
        <c:numFmt formatCode="#,##0.0" sourceLinked="1"/>
        <c:tickLblPos val="nextTo"/>
        <c:crossAx val="1121418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  <c:layout>
        <c:manualLayout>
          <c:xMode val="edge"/>
          <c:yMode val="edge"/>
          <c:x val="0.17661059663139594"/>
          <c:y val="0"/>
        </c:manualLayout>
      </c:layout>
    </c:title>
    <c:plotArea>
      <c:layout>
        <c:manualLayout>
          <c:layoutTarget val="inner"/>
          <c:xMode val="edge"/>
          <c:yMode val="edge"/>
          <c:x val="1.9566736547868665E-2"/>
          <c:y val="0.27080550614796683"/>
          <c:w val="0.95717679944094958"/>
          <c:h val="0.72456469782145727"/>
        </c:manualLayout>
      </c:layout>
      <c:barChart>
        <c:barDir val="col"/>
        <c:grouping val="clustered"/>
        <c:ser>
          <c:idx val="0"/>
          <c:order val="0"/>
          <c:tx>
            <c:strRef>
              <c:f>Sheet1!$C$155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Sheet1!$C$156:$C$157</c:f>
              <c:numCache>
                <c:formatCode>#,##0.0</c:formatCode>
                <c:ptCount val="2"/>
                <c:pt idx="0" formatCode="#,##0.0;[Red]#,##0.0">
                  <c:v>4323.9000000000005</c:v>
                </c:pt>
                <c:pt idx="1">
                  <c:v>-2112.6</c:v>
                </c:pt>
              </c:numCache>
            </c:numRef>
          </c:val>
        </c:ser>
        <c:ser>
          <c:idx val="1"/>
          <c:order val="1"/>
          <c:tx>
            <c:strRef>
              <c:f>Sheet1!$D$155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Sheet1!$D$156:$D$157</c:f>
              <c:numCache>
                <c:formatCode>#,##0.0</c:formatCode>
                <c:ptCount val="2"/>
                <c:pt idx="0" formatCode="#,##0.0;[Red]#,##0.0">
                  <c:v>3394.1</c:v>
                </c:pt>
                <c:pt idx="1">
                  <c:v>-1232</c:v>
                </c:pt>
              </c:numCache>
            </c:numRef>
          </c:val>
        </c:ser>
        <c:ser>
          <c:idx val="2"/>
          <c:order val="2"/>
          <c:tx>
            <c:strRef>
              <c:f>Sheet1!$E$155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-1,001.9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Sheet1!$E$156:$E$157</c:f>
              <c:numCache>
                <c:formatCode>#,##0.0</c:formatCode>
                <c:ptCount val="2"/>
                <c:pt idx="0" formatCode="#,##0.0;[Red]#,##0.0">
                  <c:v>3588.4</c:v>
                </c:pt>
                <c:pt idx="1">
                  <c:v>-991.7</c:v>
                </c:pt>
              </c:numCache>
            </c:numRef>
          </c:val>
        </c:ser>
        <c:ser>
          <c:idx val="3"/>
          <c:order val="3"/>
          <c:tx>
            <c:strRef>
              <c:f>Sheet1!$F$155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Sheet1!$F$156:$F$157</c:f>
              <c:numCache>
                <c:formatCode>#,##0.0</c:formatCode>
                <c:ptCount val="2"/>
                <c:pt idx="0" formatCode="#,##0.0;[Red]#,##0.0">
                  <c:v>4367.5</c:v>
                </c:pt>
                <c:pt idx="1">
                  <c:v>-1274.0999999999999</c:v>
                </c:pt>
              </c:numCache>
            </c:numRef>
          </c:val>
        </c:ser>
        <c:dLbls>
          <c:showVal val="1"/>
        </c:dLbls>
        <c:overlap val="-25"/>
        <c:axId val="112339200"/>
        <c:axId val="112381952"/>
      </c:barChart>
      <c:catAx>
        <c:axId val="112339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381952"/>
        <c:crosses val="autoZero"/>
        <c:auto val="1"/>
        <c:lblAlgn val="ctr"/>
        <c:lblOffset val="100"/>
      </c:catAx>
      <c:valAx>
        <c:axId val="112381952"/>
        <c:scaling>
          <c:orientation val="minMax"/>
        </c:scaling>
        <c:delete val="1"/>
        <c:axPos val="l"/>
        <c:numFmt formatCode="#,##0.0;[Red]#,##0.0" sourceLinked="1"/>
        <c:tickLblPos val="nextTo"/>
        <c:crossAx val="112339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417730016452348E-2"/>
          <c:y val="0.12456281973941954"/>
          <c:w val="0.87054127668003989"/>
          <c:h val="0.1336698985868083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  <c:layout>
        <c:manualLayout>
          <c:xMode val="edge"/>
          <c:yMode val="edge"/>
          <c:x val="0.18079664570230658"/>
          <c:y val="4.3816129579820574E-3"/>
        </c:manualLayout>
      </c:layout>
    </c:title>
    <c:plotArea>
      <c:layout>
        <c:manualLayout>
          <c:layoutTarget val="inner"/>
          <c:xMode val="edge"/>
          <c:yMode val="edge"/>
          <c:x val="1.3976240391334731E-2"/>
          <c:y val="0.22997982387985963"/>
          <c:w val="0.97178693913846881"/>
          <c:h val="0.63655624542000688"/>
        </c:manualLayout>
      </c:layout>
      <c:barChart>
        <c:barDir val="col"/>
        <c:grouping val="clustered"/>
        <c:ser>
          <c:idx val="0"/>
          <c:order val="0"/>
          <c:tx>
            <c:strRef>
              <c:f>Sheet1!$C$176</c:f>
              <c:strCache>
                <c:ptCount val="1"/>
                <c:pt idx="0">
                  <c:v>2014թ.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Sheet1!$C$177:$C$178</c:f>
              <c:numCache>
                <c:formatCode>#,##0.0;[Red]#,##0.0</c:formatCode>
                <c:ptCount val="2"/>
                <c:pt idx="0">
                  <c:v>1105.6699999999998</c:v>
                </c:pt>
                <c:pt idx="1">
                  <c:v>3218.2599999999998</c:v>
                </c:pt>
              </c:numCache>
            </c:numRef>
          </c:val>
        </c:ser>
        <c:ser>
          <c:idx val="1"/>
          <c:order val="1"/>
          <c:tx>
            <c:strRef>
              <c:f>Sheet1!$D$176</c:f>
              <c:strCache>
                <c:ptCount val="1"/>
                <c:pt idx="0">
                  <c:v>2015թ.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Sheet1!$D$177:$D$178</c:f>
              <c:numCache>
                <c:formatCode>#,##0.0;[Red]#,##0.0</c:formatCode>
                <c:ptCount val="2"/>
                <c:pt idx="0">
                  <c:v>1095.5999999999999</c:v>
                </c:pt>
                <c:pt idx="1">
                  <c:v>2361.6999999999998</c:v>
                </c:pt>
              </c:numCache>
            </c:numRef>
          </c:val>
        </c:ser>
        <c:ser>
          <c:idx val="2"/>
          <c:order val="2"/>
          <c:tx>
            <c:strRef>
              <c:f>Sheet1!$E$176</c:f>
              <c:strCache>
                <c:ptCount val="1"/>
                <c:pt idx="0">
                  <c:v>2016թ.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Sheet1!$E$177:$E$178</c:f>
              <c:numCache>
                <c:formatCode>#,##0.0;[Red]#,##0.0</c:formatCode>
                <c:ptCount val="2"/>
                <c:pt idx="0" formatCode="#,##0.00">
                  <c:v>1293.0999999999999</c:v>
                </c:pt>
                <c:pt idx="1">
                  <c:v>2295</c:v>
                </c:pt>
              </c:numCache>
            </c:numRef>
          </c:val>
        </c:ser>
        <c:ser>
          <c:idx val="3"/>
          <c:order val="3"/>
          <c:tx>
            <c:strRef>
              <c:f>Sheet1!$F$176</c:f>
              <c:strCache>
                <c:ptCount val="1"/>
                <c:pt idx="0">
                  <c:v>2017թ. հունվար-սեպտեմբեր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Sheet1!$F$177:$F$178</c:f>
              <c:numCache>
                <c:formatCode>#,##0.0;[Red]#,##0.0</c:formatCode>
                <c:ptCount val="2"/>
                <c:pt idx="0" formatCode="#,##0.0">
                  <c:v>1546.7</c:v>
                </c:pt>
                <c:pt idx="1">
                  <c:v>2820.8</c:v>
                </c:pt>
              </c:numCache>
            </c:numRef>
          </c:val>
        </c:ser>
        <c:dLbls>
          <c:showVal val="1"/>
        </c:dLbls>
        <c:overlap val="-25"/>
        <c:axId val="112434560"/>
        <c:axId val="112485504"/>
      </c:barChart>
      <c:catAx>
        <c:axId val="112434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485504"/>
        <c:crosses val="autoZero"/>
        <c:auto val="1"/>
        <c:lblAlgn val="ctr"/>
        <c:lblOffset val="100"/>
      </c:catAx>
      <c:valAx>
        <c:axId val="112485504"/>
        <c:scaling>
          <c:orientation val="minMax"/>
        </c:scaling>
        <c:delete val="1"/>
        <c:axPos val="l"/>
        <c:numFmt formatCode="#,##0.0;[Red]#,##0.0" sourceLinked="1"/>
        <c:tickLblPos val="nextTo"/>
        <c:crossAx val="11243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6911117601836784E-2"/>
          <c:y val="8.7413178511742032E-2"/>
          <c:w val="0.86983938328463661"/>
          <c:h val="0.120658580578207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Administrator</cp:lastModifiedBy>
  <cp:revision>2</cp:revision>
  <cp:lastPrinted>2017-06-14T06:31:00Z</cp:lastPrinted>
  <dcterms:created xsi:type="dcterms:W3CDTF">2017-11-13T08:31:00Z</dcterms:created>
  <dcterms:modified xsi:type="dcterms:W3CDTF">2017-11-13T08:31:00Z</dcterms:modified>
</cp:coreProperties>
</file>