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2F2A5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 w:rsidRPr="002F2A59">
        <w:rPr>
          <w:rFonts w:ascii="GHEA Grapalat" w:hAnsi="GHEA Grapalat" w:cs="Sylfaen"/>
          <w:b/>
          <w:sz w:val="28"/>
          <w:szCs w:val="28"/>
        </w:rPr>
        <w:t>ՏԵՂԵԿԱՆՔ</w:t>
      </w:r>
    </w:p>
    <w:p w:rsidR="00102816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2014-201</w:t>
      </w:r>
      <w:r w:rsidR="009C6F99">
        <w:rPr>
          <w:rFonts w:ascii="GHEA Grapalat" w:hAnsi="GHEA Grapalat" w:cs="Sylfaen"/>
          <w:sz w:val="24"/>
          <w:szCs w:val="24"/>
        </w:rPr>
        <w:t>7</w:t>
      </w:r>
      <w:r w:rsidRPr="005403D8">
        <w:rPr>
          <w:rFonts w:ascii="GHEA Grapalat" w:hAnsi="GHEA Grapalat" w:cs="Sylfaen"/>
          <w:sz w:val="24"/>
          <w:szCs w:val="24"/>
        </w:rPr>
        <w:t xml:space="preserve">թթ. </w:t>
      </w:r>
      <w:r w:rsidR="005573EF" w:rsidRPr="005573EF">
        <w:rPr>
          <w:rFonts w:ascii="GHEA Grapalat" w:hAnsi="GHEA Grapalat" w:cs="Sylfaen"/>
          <w:sz w:val="24"/>
          <w:szCs w:val="24"/>
        </w:rPr>
        <w:t>ՀՀ տնտեսությունը բնութագրող հիմնական մակրոտնտեսական ցուցանիշների վերաբերյալ (հունվար</w:t>
      </w:r>
      <w:r w:rsidR="003A58E5">
        <w:rPr>
          <w:rFonts w:ascii="GHEA Grapalat" w:hAnsi="GHEA Grapalat" w:cs="Sylfaen"/>
          <w:sz w:val="24"/>
          <w:szCs w:val="24"/>
        </w:rPr>
        <w:t>-</w:t>
      </w:r>
      <w:r w:rsidR="00DB08F9">
        <w:rPr>
          <w:rFonts w:ascii="GHEA Grapalat" w:hAnsi="GHEA Grapalat" w:cs="Sylfaen"/>
          <w:sz w:val="24"/>
          <w:szCs w:val="24"/>
        </w:rPr>
        <w:t>հու</w:t>
      </w:r>
      <w:r w:rsidR="00D53C3D">
        <w:rPr>
          <w:rFonts w:ascii="GHEA Grapalat" w:hAnsi="GHEA Grapalat" w:cs="Sylfaen"/>
          <w:sz w:val="24"/>
          <w:szCs w:val="24"/>
        </w:rPr>
        <w:t>լ</w:t>
      </w:r>
      <w:r w:rsidR="00DB08F9">
        <w:rPr>
          <w:rFonts w:ascii="GHEA Grapalat" w:hAnsi="GHEA Grapalat" w:cs="Sylfaen"/>
          <w:sz w:val="24"/>
          <w:szCs w:val="24"/>
        </w:rPr>
        <w:t>իս</w:t>
      </w:r>
      <w:r w:rsidR="005573EF" w:rsidRPr="005573EF">
        <w:rPr>
          <w:rFonts w:ascii="GHEA Grapalat" w:hAnsi="GHEA Grapalat" w:cs="Sylfaen"/>
          <w:sz w:val="24"/>
          <w:szCs w:val="24"/>
        </w:rPr>
        <w:t>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AC2D9E" w:rsidRDefault="00D53C3D" w:rsidP="00AC2D9E">
      <w:pPr>
        <w:ind w:left="-360" w:firstLine="360"/>
        <w:rPr>
          <w:rFonts w:ascii="GHEA Grapalat" w:hAnsi="GHEA Grapalat" w:cs="Sylfaen"/>
          <w:sz w:val="24"/>
          <w:szCs w:val="24"/>
        </w:rPr>
      </w:pPr>
      <w:r w:rsidRPr="00D53C3D">
        <w:rPr>
          <w:rFonts w:ascii="GHEA Grapalat" w:hAnsi="GHEA Grapalat" w:cs="Sylfaen"/>
          <w:sz w:val="24"/>
          <w:szCs w:val="24"/>
        </w:rPr>
        <w:drawing>
          <wp:inline distT="0" distB="0" distL="0" distR="0">
            <wp:extent cx="4543425" cy="2743200"/>
            <wp:effectExtent l="19050" t="0" r="9525" b="0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D53C3D">
        <w:rPr>
          <w:rFonts w:ascii="GHEA Grapalat" w:hAnsi="GHEA Grapalat" w:cs="Sylfaen"/>
          <w:sz w:val="24"/>
          <w:szCs w:val="24"/>
        </w:rPr>
        <w:drawing>
          <wp:inline distT="0" distB="0" distL="0" distR="0">
            <wp:extent cx="4695525" cy="2743200"/>
            <wp:effectExtent l="19050" t="0" r="9825" b="0"/>
            <wp:docPr id="10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2FD5" w:rsidRDefault="00D53C3D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D53C3D">
        <w:rPr>
          <w:rFonts w:ascii="GHEA Grapalat" w:hAnsi="GHEA Grapalat"/>
          <w:sz w:val="24"/>
          <w:szCs w:val="24"/>
        </w:rPr>
        <w:drawing>
          <wp:inline distT="0" distB="0" distL="0" distR="0">
            <wp:extent cx="4557502" cy="2743200"/>
            <wp:effectExtent l="19050" t="0" r="14498" b="0"/>
            <wp:docPr id="1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015EAF" w:rsidRPr="00015EAF">
        <w:rPr>
          <w:rFonts w:ascii="GHEA Grapalat" w:hAnsi="GHEA Grapalat"/>
          <w:sz w:val="24"/>
          <w:szCs w:val="24"/>
        </w:rPr>
        <w:drawing>
          <wp:inline distT="0" distB="0" distL="0" distR="0">
            <wp:extent cx="4681448" cy="2743200"/>
            <wp:effectExtent l="19050" t="0" r="23902" b="0"/>
            <wp:docPr id="1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2278" w:rsidRDefault="002D2278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A40DCD" w:rsidRDefault="00A40DCD" w:rsidP="00E305FB">
      <w:pPr>
        <w:ind w:left="-360" w:firstLine="360"/>
        <w:rPr>
          <w:rFonts w:ascii="GHEA Grapalat" w:hAnsi="GHEA Grapalat"/>
          <w:sz w:val="24"/>
          <w:szCs w:val="24"/>
        </w:rPr>
      </w:pPr>
    </w:p>
    <w:p w:rsidR="005573EF" w:rsidRDefault="00015EAF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015EAF">
        <w:rPr>
          <w:rFonts w:ascii="GHEA Grapalat" w:hAnsi="GHEA Grapalat"/>
          <w:sz w:val="24"/>
          <w:szCs w:val="24"/>
        </w:rPr>
        <w:drawing>
          <wp:inline distT="0" distB="0" distL="0" distR="0">
            <wp:extent cx="4543425" cy="2743200"/>
            <wp:effectExtent l="19050" t="0" r="9525" b="0"/>
            <wp:docPr id="20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53363">
        <w:rPr>
          <w:rFonts w:ascii="GHEA Grapalat" w:hAnsi="GHEA Grapalat"/>
          <w:sz w:val="24"/>
          <w:szCs w:val="24"/>
        </w:rPr>
        <w:t xml:space="preserve"> </w:t>
      </w:r>
      <w:r w:rsidRPr="00015EAF">
        <w:rPr>
          <w:rFonts w:ascii="GHEA Grapalat" w:hAnsi="GHEA Grapalat"/>
          <w:sz w:val="24"/>
          <w:szCs w:val="24"/>
        </w:rPr>
        <w:drawing>
          <wp:inline distT="0" distB="0" distL="0" distR="0">
            <wp:extent cx="4544323" cy="2743200"/>
            <wp:effectExtent l="19050" t="0" r="27677" b="0"/>
            <wp:docPr id="21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573EF" w:rsidRDefault="00E473FC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E473FC">
        <w:rPr>
          <w:rFonts w:ascii="GHEA Grapalat" w:hAnsi="GHEA Grapalat"/>
          <w:sz w:val="24"/>
          <w:szCs w:val="24"/>
        </w:rPr>
        <w:drawing>
          <wp:inline distT="0" distB="0" distL="0" distR="0">
            <wp:extent cx="4543425" cy="3105510"/>
            <wp:effectExtent l="19050" t="0" r="9525" b="0"/>
            <wp:docPr id="22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440E2C">
        <w:rPr>
          <w:rFonts w:ascii="GHEA Grapalat" w:hAnsi="GHEA Grapalat"/>
          <w:sz w:val="24"/>
          <w:szCs w:val="24"/>
        </w:rPr>
        <w:t xml:space="preserve">  </w:t>
      </w:r>
      <w:r w:rsidRPr="00E473FC">
        <w:rPr>
          <w:rFonts w:ascii="GHEA Grapalat" w:hAnsi="GHEA Grapalat"/>
          <w:sz w:val="24"/>
          <w:szCs w:val="24"/>
        </w:rPr>
        <w:drawing>
          <wp:inline distT="0" distB="0" distL="0" distR="0">
            <wp:extent cx="4491140" cy="3105510"/>
            <wp:effectExtent l="19050" t="0" r="23710" b="0"/>
            <wp:docPr id="23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40DCD" w:rsidRDefault="00A40DCD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E305FB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Pr="00013691" w:rsidRDefault="00013691" w:rsidP="00E305FB">
      <w:pPr>
        <w:ind w:left="-360" w:firstLine="360"/>
        <w:rPr>
          <w:rFonts w:ascii="GHEA Grapalat" w:hAnsi="GHEA Grapalat"/>
          <w:sz w:val="4"/>
          <w:szCs w:val="4"/>
        </w:rPr>
      </w:pPr>
    </w:p>
    <w:p w:rsidR="005573EF" w:rsidRDefault="00F37DA5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F37DA5">
        <w:rPr>
          <w:rFonts w:ascii="GHEA Grapalat" w:hAnsi="GHEA Grapalat"/>
          <w:sz w:val="24"/>
          <w:szCs w:val="24"/>
        </w:rPr>
        <w:drawing>
          <wp:inline distT="0" distB="0" distL="0" distR="0">
            <wp:extent cx="4472245" cy="2932981"/>
            <wp:effectExtent l="19050" t="0" r="23555" b="719"/>
            <wp:docPr id="24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013691">
        <w:rPr>
          <w:rFonts w:ascii="GHEA Grapalat" w:hAnsi="GHEA Grapalat"/>
          <w:sz w:val="24"/>
          <w:szCs w:val="24"/>
        </w:rPr>
        <w:t xml:space="preserve">   </w:t>
      </w:r>
      <w:r w:rsidRPr="00F37DA5">
        <w:rPr>
          <w:rFonts w:ascii="GHEA Grapalat" w:hAnsi="GHEA Grapalat"/>
          <w:sz w:val="24"/>
          <w:szCs w:val="24"/>
        </w:rPr>
        <w:drawing>
          <wp:inline distT="0" distB="0" distL="0" distR="0">
            <wp:extent cx="4731038" cy="2932346"/>
            <wp:effectExtent l="19050" t="0" r="12412" b="1354"/>
            <wp:docPr id="25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E7DD6" w:rsidRDefault="00F37DA5" w:rsidP="00013691">
      <w:pPr>
        <w:ind w:left="-360" w:firstLine="360"/>
        <w:rPr>
          <w:rFonts w:ascii="GHEA Grapalat" w:hAnsi="GHEA Grapalat"/>
          <w:sz w:val="24"/>
          <w:szCs w:val="24"/>
        </w:rPr>
      </w:pPr>
      <w:r w:rsidRPr="00F37DA5">
        <w:rPr>
          <w:rFonts w:ascii="GHEA Grapalat" w:hAnsi="GHEA Grapalat"/>
          <w:sz w:val="24"/>
          <w:szCs w:val="24"/>
        </w:rPr>
        <w:drawing>
          <wp:inline distT="0" distB="0" distL="0" distR="0">
            <wp:extent cx="3329113" cy="3183147"/>
            <wp:effectExtent l="19050" t="0" r="23687" b="0"/>
            <wp:docPr id="26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615643" w:rsidRPr="00615643">
        <w:rPr>
          <w:rFonts w:ascii="GHEA Grapalat" w:hAnsi="GHEA Grapalat"/>
          <w:sz w:val="24"/>
          <w:szCs w:val="24"/>
        </w:rPr>
        <w:t xml:space="preserve"> </w:t>
      </w:r>
      <w:r w:rsidRPr="00F37DA5">
        <w:rPr>
          <w:rFonts w:ascii="GHEA Grapalat" w:hAnsi="GHEA Grapalat"/>
          <w:sz w:val="24"/>
          <w:szCs w:val="24"/>
        </w:rPr>
        <w:drawing>
          <wp:inline distT="0" distB="0" distL="0" distR="0">
            <wp:extent cx="3034701" cy="3183147"/>
            <wp:effectExtent l="19050" t="0" r="13299" b="0"/>
            <wp:docPr id="27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D14A9F" w:rsidRPr="00D14A9F">
        <w:rPr>
          <w:rFonts w:ascii="GHEA Grapalat" w:hAnsi="GHEA Grapalat"/>
          <w:sz w:val="24"/>
          <w:szCs w:val="24"/>
        </w:rPr>
        <w:drawing>
          <wp:inline distT="0" distB="0" distL="0" distR="0">
            <wp:extent cx="2894881" cy="3148642"/>
            <wp:effectExtent l="19050" t="0" r="19769" b="0"/>
            <wp:docPr id="28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D14A9F" w:rsidP="00013691">
      <w:pPr>
        <w:ind w:left="-360" w:firstLine="360"/>
        <w:rPr>
          <w:rFonts w:ascii="GHEA Grapalat" w:hAnsi="GHEA Grapalat"/>
          <w:sz w:val="24"/>
          <w:szCs w:val="24"/>
        </w:rPr>
      </w:pPr>
      <w:r w:rsidRPr="00D14A9F">
        <w:rPr>
          <w:rFonts w:ascii="GHEA Grapalat" w:hAnsi="GHEA Grapalat"/>
          <w:sz w:val="24"/>
          <w:szCs w:val="24"/>
        </w:rPr>
        <w:lastRenderedPageBreak/>
        <w:drawing>
          <wp:inline distT="0" distB="0" distL="0" distR="0">
            <wp:extent cx="4649637" cy="3053751"/>
            <wp:effectExtent l="19050" t="0" r="17613" b="0"/>
            <wp:docPr id="29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E576E1" w:rsidRPr="00E576E1">
        <w:rPr>
          <w:rFonts w:ascii="GHEA Grapalat" w:hAnsi="GHEA Grapalat"/>
          <w:sz w:val="24"/>
          <w:szCs w:val="24"/>
        </w:rPr>
        <w:drawing>
          <wp:inline distT="0" distB="0" distL="0" distR="0">
            <wp:extent cx="4785863" cy="3053751"/>
            <wp:effectExtent l="19050" t="0" r="14737" b="0"/>
            <wp:docPr id="30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24"/>
          <w:szCs w:val="24"/>
        </w:rPr>
      </w:pPr>
    </w:p>
    <w:p w:rsidR="009C6789" w:rsidRDefault="009C6789" w:rsidP="00013691">
      <w:pPr>
        <w:ind w:left="-360" w:firstLine="360"/>
        <w:rPr>
          <w:rFonts w:ascii="GHEA Grapalat" w:hAnsi="GHEA Grapalat"/>
          <w:sz w:val="16"/>
          <w:szCs w:val="16"/>
        </w:rPr>
      </w:pPr>
    </w:p>
    <w:p w:rsidR="00013691" w:rsidRDefault="00013691" w:rsidP="00013691">
      <w:pPr>
        <w:spacing w:after="0" w:line="240" w:lineRule="auto"/>
        <w:ind w:firstLine="720"/>
        <w:jc w:val="both"/>
        <w:rPr>
          <w:rFonts w:ascii="GHEA Grapalat" w:hAnsi="GHEA Grapalat"/>
          <w:sz w:val="16"/>
          <w:szCs w:val="16"/>
        </w:rPr>
      </w:pPr>
      <w:r w:rsidRPr="001E7DD6">
        <w:rPr>
          <w:rFonts w:ascii="GHEA Grapalat" w:hAnsi="GHEA Grapalat"/>
          <w:sz w:val="16"/>
          <w:szCs w:val="16"/>
        </w:rPr>
        <w:t>Տեղեկատվության աղբյուրներ են հանդիսացել</w:t>
      </w:r>
      <w:r>
        <w:rPr>
          <w:rFonts w:ascii="GHEA Grapalat" w:hAnsi="GHEA Grapalat"/>
          <w:sz w:val="16"/>
          <w:szCs w:val="16"/>
        </w:rPr>
        <w:t>`</w:t>
      </w:r>
    </w:p>
    <w:p w:rsidR="001C1675" w:rsidRDefault="00013691" w:rsidP="001C1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1E7DD6">
        <w:rPr>
          <w:rFonts w:ascii="GHEA Grapalat" w:hAnsi="GHEA Grapalat" w:cs="Sylfaen"/>
          <w:sz w:val="16"/>
          <w:szCs w:val="16"/>
        </w:rPr>
        <w:t>Հայաստանի</w:t>
      </w:r>
      <w:r w:rsidRPr="001E7DD6">
        <w:rPr>
          <w:rFonts w:ascii="GHEA Grapalat" w:hAnsi="GHEA Grapalat"/>
          <w:sz w:val="16"/>
          <w:szCs w:val="16"/>
        </w:rPr>
        <w:t xml:space="preserve"> Հանրապետության ազգային վիճակագրական ծառայության ինտերնետային կայքի հրապարակումները` ՀՀ սոցիալ-տնտեսական վիճակը 2014-2017թթ. հունվար – </w:t>
      </w:r>
      <w:r w:rsidR="009C6789">
        <w:rPr>
          <w:rFonts w:ascii="GHEA Grapalat" w:hAnsi="GHEA Grapalat"/>
          <w:sz w:val="16"/>
          <w:szCs w:val="16"/>
        </w:rPr>
        <w:t>հու</w:t>
      </w:r>
      <w:r w:rsidR="00506600">
        <w:rPr>
          <w:rFonts w:ascii="GHEA Grapalat" w:hAnsi="GHEA Grapalat"/>
          <w:sz w:val="16"/>
          <w:szCs w:val="16"/>
        </w:rPr>
        <w:t>լ</w:t>
      </w:r>
      <w:r w:rsidR="009C6789">
        <w:rPr>
          <w:rFonts w:ascii="GHEA Grapalat" w:hAnsi="GHEA Grapalat"/>
          <w:sz w:val="16"/>
          <w:szCs w:val="16"/>
        </w:rPr>
        <w:t>իս</w:t>
      </w:r>
      <w:r w:rsidRPr="001E7DD6">
        <w:rPr>
          <w:rFonts w:ascii="GHEA Grapalat" w:hAnsi="GHEA Grapalat"/>
          <w:sz w:val="16"/>
          <w:szCs w:val="16"/>
        </w:rPr>
        <w:t>,</w:t>
      </w:r>
    </w:p>
    <w:p w:rsidR="001E7DD6" w:rsidRPr="001C1675" w:rsidRDefault="00013691" w:rsidP="001C16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16"/>
          <w:szCs w:val="16"/>
        </w:rPr>
      </w:pPr>
      <w:r w:rsidRPr="001C1675">
        <w:rPr>
          <w:rFonts w:ascii="GHEA Grapalat" w:hAnsi="GHEA Grapalat" w:cs="Sylfaen"/>
          <w:sz w:val="16"/>
          <w:szCs w:val="16"/>
        </w:rPr>
        <w:t>Հ</w:t>
      </w:r>
      <w:r w:rsidRPr="001C1675">
        <w:rPr>
          <w:rFonts w:ascii="GHEA Grapalat" w:hAnsi="GHEA Grapalat"/>
          <w:sz w:val="16"/>
          <w:szCs w:val="16"/>
        </w:rPr>
        <w:t>այաստանի Հանրապետության Կենտրոնական բանկի ինտերնետային կայքի վիճակագրության բաժնի հրապարակումները` ՀՀ բանկերի միջոցով ֆիզիկական անձանց անունով արտերկրից ստացված և ՀՀ–ից ֆիզիկական անձանց կողմից արտերկիր իրականացված փոխանցումներ` ամսեկան:</w:t>
      </w:r>
    </w:p>
    <w:sectPr w:rsidR="001E7DD6" w:rsidRPr="001C1675" w:rsidSect="00013691">
      <w:headerReference w:type="default" r:id="rId23"/>
      <w:pgSz w:w="15840" w:h="12240" w:orient="landscape"/>
      <w:pgMar w:top="450" w:right="270" w:bottom="270" w:left="5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81A" w:rsidRDefault="004C181A" w:rsidP="00AC2D9E">
      <w:pPr>
        <w:spacing w:after="0" w:line="240" w:lineRule="auto"/>
      </w:pPr>
      <w:r>
        <w:separator/>
      </w:r>
    </w:p>
  </w:endnote>
  <w:endnote w:type="continuationSeparator" w:id="1">
    <w:p w:rsidR="004C181A" w:rsidRDefault="004C181A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81A" w:rsidRDefault="004C181A" w:rsidP="00AC2D9E">
      <w:pPr>
        <w:spacing w:after="0" w:line="240" w:lineRule="auto"/>
      </w:pPr>
      <w:r>
        <w:separator/>
      </w:r>
    </w:p>
  </w:footnote>
  <w:footnote w:type="continuationSeparator" w:id="1">
    <w:p w:rsidR="004C181A" w:rsidRDefault="004C181A" w:rsidP="00AC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CD" w:rsidRPr="00A40DCD" w:rsidRDefault="00A40DCD" w:rsidP="00A40DCD">
    <w:pPr>
      <w:pStyle w:val="Header"/>
      <w:jc w:val="right"/>
      <w:rPr>
        <w:rFonts w:ascii="GHEA Grapalat" w:hAnsi="GHEA Grapalat"/>
      </w:rPr>
    </w:pPr>
    <w:r w:rsidRPr="00A40DCD">
      <w:rPr>
        <w:rFonts w:ascii="GHEA Grapalat" w:hAnsi="GHEA Grapalat"/>
      </w:rPr>
      <w:t>Պատրաստված է Աժ բյուջետային գրասենյակի կողմից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42DF"/>
    <w:multiLevelType w:val="hybridMultilevel"/>
    <w:tmpl w:val="2EC24186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13691"/>
    <w:rsid w:val="00014E0B"/>
    <w:rsid w:val="00015EAF"/>
    <w:rsid w:val="0006054D"/>
    <w:rsid w:val="000650B8"/>
    <w:rsid w:val="000675D6"/>
    <w:rsid w:val="0008501D"/>
    <w:rsid w:val="000C120D"/>
    <w:rsid w:val="00102816"/>
    <w:rsid w:val="0012000E"/>
    <w:rsid w:val="001476E6"/>
    <w:rsid w:val="00160AE9"/>
    <w:rsid w:val="00184797"/>
    <w:rsid w:val="00194EC9"/>
    <w:rsid w:val="0019787B"/>
    <w:rsid w:val="001B0B81"/>
    <w:rsid w:val="001C1675"/>
    <w:rsid w:val="001D2D9A"/>
    <w:rsid w:val="001D6A45"/>
    <w:rsid w:val="001E262C"/>
    <w:rsid w:val="001E7DD6"/>
    <w:rsid w:val="001F2E6E"/>
    <w:rsid w:val="002003E2"/>
    <w:rsid w:val="00212BB3"/>
    <w:rsid w:val="00227F84"/>
    <w:rsid w:val="0025031E"/>
    <w:rsid w:val="00250649"/>
    <w:rsid w:val="00253363"/>
    <w:rsid w:val="00261BD4"/>
    <w:rsid w:val="00262AB4"/>
    <w:rsid w:val="00270CA5"/>
    <w:rsid w:val="00274F9A"/>
    <w:rsid w:val="002A0970"/>
    <w:rsid w:val="002C1B34"/>
    <w:rsid w:val="002C7775"/>
    <w:rsid w:val="002D2278"/>
    <w:rsid w:val="002D3E86"/>
    <w:rsid w:val="002E2575"/>
    <w:rsid w:val="002F2A59"/>
    <w:rsid w:val="003003CC"/>
    <w:rsid w:val="00304E24"/>
    <w:rsid w:val="0032061B"/>
    <w:rsid w:val="003361C0"/>
    <w:rsid w:val="00345F90"/>
    <w:rsid w:val="003670A8"/>
    <w:rsid w:val="003A58E5"/>
    <w:rsid w:val="003C7B39"/>
    <w:rsid w:val="003D5370"/>
    <w:rsid w:val="003F4D60"/>
    <w:rsid w:val="00406E0A"/>
    <w:rsid w:val="00440E2C"/>
    <w:rsid w:val="00440FAF"/>
    <w:rsid w:val="00455B1D"/>
    <w:rsid w:val="00460B7D"/>
    <w:rsid w:val="00461DE6"/>
    <w:rsid w:val="00480140"/>
    <w:rsid w:val="00482ADD"/>
    <w:rsid w:val="00487DE4"/>
    <w:rsid w:val="004B29FC"/>
    <w:rsid w:val="004B3A6B"/>
    <w:rsid w:val="004B6FE4"/>
    <w:rsid w:val="004C181A"/>
    <w:rsid w:val="004D38E0"/>
    <w:rsid w:val="004F2B23"/>
    <w:rsid w:val="00506600"/>
    <w:rsid w:val="00513FFD"/>
    <w:rsid w:val="005244EF"/>
    <w:rsid w:val="00530666"/>
    <w:rsid w:val="005333D4"/>
    <w:rsid w:val="005403D8"/>
    <w:rsid w:val="005573EF"/>
    <w:rsid w:val="005B1A4E"/>
    <w:rsid w:val="005B7200"/>
    <w:rsid w:val="005C63AF"/>
    <w:rsid w:val="005D5AFC"/>
    <w:rsid w:val="005E0215"/>
    <w:rsid w:val="00604084"/>
    <w:rsid w:val="00615643"/>
    <w:rsid w:val="006204FF"/>
    <w:rsid w:val="00630298"/>
    <w:rsid w:val="006312BF"/>
    <w:rsid w:val="00636546"/>
    <w:rsid w:val="006378AC"/>
    <w:rsid w:val="006438C5"/>
    <w:rsid w:val="0064680E"/>
    <w:rsid w:val="006610FD"/>
    <w:rsid w:val="00672C70"/>
    <w:rsid w:val="00683871"/>
    <w:rsid w:val="006927B1"/>
    <w:rsid w:val="00697E19"/>
    <w:rsid w:val="006A61EA"/>
    <w:rsid w:val="006B5023"/>
    <w:rsid w:val="006B6EF3"/>
    <w:rsid w:val="006D02A5"/>
    <w:rsid w:val="006D77DE"/>
    <w:rsid w:val="006F698B"/>
    <w:rsid w:val="007061B2"/>
    <w:rsid w:val="00745186"/>
    <w:rsid w:val="00795E20"/>
    <w:rsid w:val="007A694E"/>
    <w:rsid w:val="007A7000"/>
    <w:rsid w:val="007A74E8"/>
    <w:rsid w:val="007B37F5"/>
    <w:rsid w:val="007B4FE1"/>
    <w:rsid w:val="007C3361"/>
    <w:rsid w:val="007D095A"/>
    <w:rsid w:val="00803D24"/>
    <w:rsid w:val="0081180D"/>
    <w:rsid w:val="00811EF3"/>
    <w:rsid w:val="00816579"/>
    <w:rsid w:val="00841547"/>
    <w:rsid w:val="00843B3E"/>
    <w:rsid w:val="00867138"/>
    <w:rsid w:val="008A36E5"/>
    <w:rsid w:val="008A5AC2"/>
    <w:rsid w:val="008C2FD5"/>
    <w:rsid w:val="008C5278"/>
    <w:rsid w:val="008D0DC3"/>
    <w:rsid w:val="008D75B0"/>
    <w:rsid w:val="008F0973"/>
    <w:rsid w:val="008F6A42"/>
    <w:rsid w:val="008F7B11"/>
    <w:rsid w:val="00917363"/>
    <w:rsid w:val="00917ADA"/>
    <w:rsid w:val="00923985"/>
    <w:rsid w:val="00927F36"/>
    <w:rsid w:val="00934D90"/>
    <w:rsid w:val="00947826"/>
    <w:rsid w:val="009C34ED"/>
    <w:rsid w:val="009C6789"/>
    <w:rsid w:val="009C6F99"/>
    <w:rsid w:val="009E66DD"/>
    <w:rsid w:val="00A045DD"/>
    <w:rsid w:val="00A124D7"/>
    <w:rsid w:val="00A36CD4"/>
    <w:rsid w:val="00A40DCD"/>
    <w:rsid w:val="00AC2D9E"/>
    <w:rsid w:val="00AC75A4"/>
    <w:rsid w:val="00AD6420"/>
    <w:rsid w:val="00B00B2A"/>
    <w:rsid w:val="00B049B0"/>
    <w:rsid w:val="00B1681D"/>
    <w:rsid w:val="00B55DF2"/>
    <w:rsid w:val="00B61515"/>
    <w:rsid w:val="00B619F8"/>
    <w:rsid w:val="00B61D27"/>
    <w:rsid w:val="00B63EB8"/>
    <w:rsid w:val="00B84B20"/>
    <w:rsid w:val="00B85680"/>
    <w:rsid w:val="00BD3858"/>
    <w:rsid w:val="00BD7408"/>
    <w:rsid w:val="00C017E6"/>
    <w:rsid w:val="00C05E66"/>
    <w:rsid w:val="00C132D9"/>
    <w:rsid w:val="00C1557D"/>
    <w:rsid w:val="00C26433"/>
    <w:rsid w:val="00C277E0"/>
    <w:rsid w:val="00C94D95"/>
    <w:rsid w:val="00CB051C"/>
    <w:rsid w:val="00CD2C49"/>
    <w:rsid w:val="00CE2B51"/>
    <w:rsid w:val="00CF0868"/>
    <w:rsid w:val="00CF259D"/>
    <w:rsid w:val="00CF3581"/>
    <w:rsid w:val="00CF4D61"/>
    <w:rsid w:val="00D14A9F"/>
    <w:rsid w:val="00D221F8"/>
    <w:rsid w:val="00D34BAE"/>
    <w:rsid w:val="00D50656"/>
    <w:rsid w:val="00D53C3D"/>
    <w:rsid w:val="00D67B14"/>
    <w:rsid w:val="00D8356A"/>
    <w:rsid w:val="00DB08F9"/>
    <w:rsid w:val="00DB46EB"/>
    <w:rsid w:val="00DD1BED"/>
    <w:rsid w:val="00E0173A"/>
    <w:rsid w:val="00E07AEA"/>
    <w:rsid w:val="00E267D1"/>
    <w:rsid w:val="00E305FB"/>
    <w:rsid w:val="00E311F1"/>
    <w:rsid w:val="00E473FC"/>
    <w:rsid w:val="00E572E5"/>
    <w:rsid w:val="00E576E1"/>
    <w:rsid w:val="00E7138C"/>
    <w:rsid w:val="00E7371B"/>
    <w:rsid w:val="00EC11CC"/>
    <w:rsid w:val="00ED0F8A"/>
    <w:rsid w:val="00EF7F1B"/>
    <w:rsid w:val="00F057EC"/>
    <w:rsid w:val="00F336DE"/>
    <w:rsid w:val="00F37DA5"/>
    <w:rsid w:val="00F40D2C"/>
    <w:rsid w:val="00F51D59"/>
    <w:rsid w:val="00F63873"/>
    <w:rsid w:val="00F779CB"/>
    <w:rsid w:val="00FA1371"/>
    <w:rsid w:val="00FD223E"/>
    <w:rsid w:val="00FD35C3"/>
    <w:rsid w:val="00FD6352"/>
    <w:rsid w:val="00FE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  <w:style w:type="paragraph" w:styleId="ListParagraph">
    <w:name w:val="List Paragraph"/>
    <w:basedOn w:val="Normal"/>
    <w:uiPriority w:val="34"/>
    <w:qFormat/>
    <w:rsid w:val="001E7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July2017\Book1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July2017\Book1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July2017\Book1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July2017\Book1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July2017\Book1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July2017\Book1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July2017\Book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July2017\Book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July2017\Book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July2017\Book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July2017\Book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July2017\Book1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July2017\Book1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July2017\Book1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MACROTNTESAKAN\JunJuly2017\Book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Տնտեսական ակտիվության ցուցանիշը նախորդ տարվա նույն ժամանակահատվածի նկատմամբ (%)</a:t>
            </a:r>
          </a:p>
        </c:rich>
      </c:tx>
    </c:title>
    <c:plotArea>
      <c:layout>
        <c:manualLayout>
          <c:layoutTarget val="inner"/>
          <c:xMode val="edge"/>
          <c:yMode val="edge"/>
          <c:x val="9.7362892531515324E-2"/>
          <c:y val="0.18009259259259264"/>
          <c:w val="0.9026371074684848"/>
          <c:h val="0.69408974919801703"/>
        </c:manualLayout>
      </c:layout>
      <c:barChart>
        <c:barDir val="col"/>
        <c:grouping val="clustered"/>
        <c:ser>
          <c:idx val="0"/>
          <c:order val="0"/>
          <c:tx>
            <c:strRef>
              <c:f>Sheet1!$B$5</c:f>
              <c:strCache>
                <c:ptCount val="1"/>
                <c:pt idx="0">
                  <c:v>Տնտեսական ակտիվության ցուցանիշը (ՏԱՑ)</c:v>
                </c:pt>
              </c:strCache>
            </c:strRef>
          </c:tx>
          <c:dLbls>
            <c:dLbl>
              <c:idx val="0"/>
              <c:layout>
                <c:manualLayout>
                  <c:x val="-2.76025245272014E-3"/>
                  <c:y val="1.8518518518518521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2.7952480782669465E-3"/>
                  <c:y val="-8.3333333333333343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0"/>
                  <c:y val="-8.3333333333333245E-2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0"/>
                  <c:y val="-7.407407407407407E-2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Sheet1!$C$4:$F$4</c:f>
              <c:strCache>
                <c:ptCount val="4"/>
                <c:pt idx="0">
                  <c:v>2014թ. հունվար-հուլիս</c:v>
                </c:pt>
                <c:pt idx="1">
                  <c:v>2015թ. հունվար-հուլիս</c:v>
                </c:pt>
                <c:pt idx="2">
                  <c:v>2016թ. հունվար-հուլիս</c:v>
                </c:pt>
                <c:pt idx="3">
                  <c:v>2017թ. հունվար-հուլիս</c:v>
                </c:pt>
              </c:strCache>
            </c:strRef>
          </c:cat>
          <c:val>
            <c:numRef>
              <c:f>Sheet1!$C$5:$F$5</c:f>
              <c:numCache>
                <c:formatCode>0.0</c:formatCode>
                <c:ptCount val="4"/>
                <c:pt idx="0" formatCode="General">
                  <c:v>104.5</c:v>
                </c:pt>
                <c:pt idx="1">
                  <c:v>104.1</c:v>
                </c:pt>
                <c:pt idx="2" formatCode="#,##0.0;[Red]#,##0.0">
                  <c:v>103.6</c:v>
                </c:pt>
                <c:pt idx="3">
                  <c:v>106.2</c:v>
                </c:pt>
              </c:numCache>
            </c:numRef>
          </c:val>
        </c:ser>
        <c:gapWidth val="75"/>
        <c:overlap val="40"/>
        <c:axId val="91477888"/>
        <c:axId val="91726976"/>
      </c:barChart>
      <c:catAx>
        <c:axId val="91477888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91726976"/>
        <c:crosses val="autoZero"/>
        <c:auto val="1"/>
        <c:lblAlgn val="ctr"/>
        <c:lblOffset val="100"/>
      </c:catAx>
      <c:valAx>
        <c:axId val="917269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9147788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"/>
          <c:y val="0.19080763320563127"/>
          <c:w val="1"/>
          <c:h val="0.69149036300627553"/>
        </c:manualLayout>
      </c:layout>
      <c:barChart>
        <c:barDir val="col"/>
        <c:grouping val="clustered"/>
        <c:ser>
          <c:idx val="0"/>
          <c:order val="0"/>
          <c:tx>
            <c:strRef>
              <c:f>Sheet1!$B$199</c:f>
              <c:strCache>
                <c:ptCount val="1"/>
                <c:pt idx="0">
                  <c:v>Աշխատանք փնտրողներ, ընդամենը ժամանակաշրջանի վերջին ամսվա դրությամբ, մարդ</c:v>
                </c:pt>
              </c:strCache>
            </c:strRef>
          </c:tx>
          <c:dLbls>
            <c:dLbl>
              <c:idx val="0"/>
              <c:layout>
                <c:manualLayout>
                  <c:x val="-5.3688006733406072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5.3688006733406072E-3"/>
                  <c:y val="1.299300969258062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7324012923440817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732401292344077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Sheet1!$C$198:$F$198</c:f>
              <c:strCache>
                <c:ptCount val="4"/>
                <c:pt idx="0">
                  <c:v>2014թ. հունվար-հուլիս</c:v>
                </c:pt>
                <c:pt idx="1">
                  <c:v>2015թ. հունվար-հուլիս</c:v>
                </c:pt>
                <c:pt idx="2">
                  <c:v>2016թ. հունվար-հուլիս</c:v>
                </c:pt>
                <c:pt idx="3">
                  <c:v>2017թ. հունվար-հուլիս</c:v>
                </c:pt>
              </c:strCache>
            </c:strRef>
          </c:cat>
          <c:val>
            <c:numRef>
              <c:f>Sheet1!$C$199:$F$199</c:f>
              <c:numCache>
                <c:formatCode>#,##0.0;[Red]#,##0.0</c:formatCode>
                <c:ptCount val="4"/>
                <c:pt idx="0">
                  <c:v>66300</c:v>
                </c:pt>
                <c:pt idx="1">
                  <c:v>86414</c:v>
                </c:pt>
                <c:pt idx="2">
                  <c:v>96118</c:v>
                </c:pt>
                <c:pt idx="3">
                  <c:v>90282</c:v>
                </c:pt>
              </c:numCache>
            </c:numRef>
          </c:val>
        </c:ser>
        <c:ser>
          <c:idx val="1"/>
          <c:order val="1"/>
          <c:tx>
            <c:strRef>
              <c:f>Sheet1!$B$200</c:f>
              <c:strCache>
                <c:ptCount val="1"/>
                <c:pt idx="0">
                  <c:v>Պաշտոնապես գրանցված գործազուրկների միջին ամսական թվաքանակը, ընդամենը ժամանակաշրջանի վերջին ամսվա դրությամբ, մարդ</c:v>
                </c:pt>
              </c:strCache>
            </c:strRef>
          </c:tx>
          <c:dLbls>
            <c:dLbl>
              <c:idx val="0"/>
              <c:layout>
                <c:manualLayout>
                  <c:x val="5.3688006733406072E-3"/>
                  <c:y val="1.2993009692580621E-2"/>
                </c:manualLayout>
              </c:layout>
              <c:showVal val="1"/>
            </c:dLbl>
            <c:dLbl>
              <c:idx val="1"/>
              <c:layout>
                <c:manualLayout>
                  <c:x val="-2.6844003366703539E-3"/>
                  <c:y val="1.2993009692580621E-2"/>
                </c:manualLayout>
              </c:layout>
              <c:showVal val="1"/>
            </c:dLbl>
            <c:dLbl>
              <c:idx val="2"/>
              <c:layout>
                <c:manualLayout>
                  <c:x val="5.3688006733406072E-3"/>
                  <c:y val="8.6620064617204118E-3"/>
                </c:manualLayout>
              </c:layout>
              <c:showVal val="1"/>
            </c:dLbl>
            <c:dLbl>
              <c:idx val="3"/>
              <c:layout>
                <c:manualLayout>
                  <c:x val="5.3688006733406072E-3"/>
                  <c:y val="8.6620064617204118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Sheet1!$C$198:$F$198</c:f>
              <c:strCache>
                <c:ptCount val="4"/>
                <c:pt idx="0">
                  <c:v>2014թ. հունվար-հուլիս</c:v>
                </c:pt>
                <c:pt idx="1">
                  <c:v>2015թ. հունվար-հուլիս</c:v>
                </c:pt>
                <c:pt idx="2">
                  <c:v>2016թ. հունվար-հուլիս</c:v>
                </c:pt>
                <c:pt idx="3">
                  <c:v>2017թ. հունվար-հուլիս</c:v>
                </c:pt>
              </c:strCache>
            </c:strRef>
          </c:cat>
          <c:val>
            <c:numRef>
              <c:f>Sheet1!$C$200:$F$200</c:f>
              <c:numCache>
                <c:formatCode>#,##0.0;[Red]#,##0.0</c:formatCode>
                <c:ptCount val="4"/>
                <c:pt idx="0">
                  <c:v>62886</c:v>
                </c:pt>
                <c:pt idx="1">
                  <c:v>74425</c:v>
                </c:pt>
                <c:pt idx="2">
                  <c:v>77618</c:v>
                </c:pt>
                <c:pt idx="3">
                  <c:v>76038</c:v>
                </c:pt>
              </c:numCache>
            </c:numRef>
          </c:val>
        </c:ser>
        <c:dLbls>
          <c:showVal val="1"/>
        </c:dLbls>
        <c:overlap val="-25"/>
        <c:axId val="133030272"/>
        <c:axId val="133031808"/>
      </c:barChart>
      <c:catAx>
        <c:axId val="133030272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33031808"/>
        <c:crosses val="autoZero"/>
        <c:auto val="1"/>
        <c:lblAlgn val="ctr"/>
        <c:lblOffset val="100"/>
      </c:catAx>
      <c:valAx>
        <c:axId val="133031808"/>
        <c:scaling>
          <c:orientation val="minMax"/>
        </c:scaling>
        <c:delete val="1"/>
        <c:axPos val="l"/>
        <c:numFmt formatCode="#,##0.0;[Red]#,##0.0" sourceLinked="1"/>
        <c:tickLblPos val="nextTo"/>
        <c:crossAx val="1330302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5326023591440198E-2"/>
          <c:y val="1.2993009692580621E-2"/>
          <c:w val="0.96666334111034391"/>
          <c:h val="0.16634564952430583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Միջին ամսական անվանական աշխատավարձը ժամանակաշրջանի վերջին ամսվա դրությամբ,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1.9074149781037775E-2"/>
          <c:y val="0.19091012761898837"/>
          <c:w val="0.98092585021896239"/>
          <c:h val="0.67716194068322966"/>
        </c:manualLayout>
      </c:layout>
      <c:barChart>
        <c:barDir val="col"/>
        <c:grouping val="clustered"/>
        <c:ser>
          <c:idx val="0"/>
          <c:order val="0"/>
          <c:tx>
            <c:strRef>
              <c:f>Sheet1!$B$219</c:f>
              <c:strCache>
                <c:ptCount val="1"/>
                <c:pt idx="0">
                  <c:v>Միջին ամսական անվանական աշխատավարձը ժամանակաշրջանի վերջին ամսվա դրությամբ, դրամ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Sheet1!$C$218:$F$218</c:f>
              <c:strCache>
                <c:ptCount val="4"/>
                <c:pt idx="0">
                  <c:v>2014թ. հունվար-հուլիս</c:v>
                </c:pt>
                <c:pt idx="1">
                  <c:v>2015թ. հունվար-հուլիս</c:v>
                </c:pt>
                <c:pt idx="2">
                  <c:v>2016թ. հունվար-հուլիս</c:v>
                </c:pt>
                <c:pt idx="3">
                  <c:v>2017թ. հունվար-հուլիս</c:v>
                </c:pt>
              </c:strCache>
            </c:strRef>
          </c:cat>
          <c:val>
            <c:numRef>
              <c:f>Sheet1!$C$219:$F$219</c:f>
              <c:numCache>
                <c:formatCode>#,##0.0</c:formatCode>
                <c:ptCount val="4"/>
                <c:pt idx="0">
                  <c:v>179889</c:v>
                </c:pt>
                <c:pt idx="1">
                  <c:v>196755</c:v>
                </c:pt>
                <c:pt idx="2">
                  <c:v>198504</c:v>
                </c:pt>
                <c:pt idx="3">
                  <c:v>206833</c:v>
                </c:pt>
              </c:numCache>
            </c:numRef>
          </c:val>
        </c:ser>
        <c:dLbls>
          <c:showVal val="1"/>
        </c:dLbls>
        <c:overlap val="-25"/>
        <c:axId val="133164416"/>
        <c:axId val="133219456"/>
      </c:barChart>
      <c:catAx>
        <c:axId val="133164416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33219456"/>
        <c:crosses val="autoZero"/>
        <c:auto val="1"/>
        <c:lblAlgn val="ctr"/>
        <c:lblOffset val="100"/>
      </c:catAx>
      <c:valAx>
        <c:axId val="133219456"/>
        <c:scaling>
          <c:orientation val="minMax"/>
        </c:scaling>
        <c:delete val="1"/>
        <c:axPos val="l"/>
        <c:numFmt formatCode="#,##0.0" sourceLinked="1"/>
        <c:tickLblPos val="nextTo"/>
        <c:crossAx val="13316441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700"/>
              <a:t>ՀՀ բանկերի միջոցով ֆիզիկական անձանց անունով արտերկրից ստացված և ՀՀ-ից ֆիզիկական անձանց կողմից արտերկիր իրականացված փոխանցումներ (հազ.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32204356254989175"/>
          <c:w val="1"/>
          <c:h val="0.57637708845994229"/>
        </c:manualLayout>
      </c:layout>
      <c:barChart>
        <c:barDir val="col"/>
        <c:grouping val="clustered"/>
        <c:ser>
          <c:idx val="0"/>
          <c:order val="0"/>
          <c:tx>
            <c:strRef>
              <c:f>Sheet1!$C$238</c:f>
              <c:strCache>
                <c:ptCount val="1"/>
                <c:pt idx="0">
                  <c:v>2014թ. հունվար-հուլիս</c:v>
                </c:pt>
              </c:strCache>
            </c:strRef>
          </c:tx>
          <c:dLbls>
            <c:dLbl>
              <c:idx val="0"/>
              <c:layout>
                <c:manualLayout>
                  <c:x val="-2.0190477280625695E-2"/>
                  <c:y val="1.5959049330740931E-2"/>
                </c:manualLayout>
              </c:layout>
              <c:showVal val="1"/>
            </c:dLbl>
            <c:dLbl>
              <c:idx val="1"/>
              <c:layout>
                <c:manualLayout>
                  <c:x val="-8.0761909122502792E-3"/>
                  <c:y val="1.595904933074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5959049330740931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Sheet1!$C$239:$C$241</c:f>
              <c:numCache>
                <c:formatCode>#,##0</c:formatCode>
                <c:ptCount val="3"/>
                <c:pt idx="0">
                  <c:v>1188549</c:v>
                </c:pt>
                <c:pt idx="1">
                  <c:v>492785</c:v>
                </c:pt>
                <c:pt idx="2">
                  <c:v>695763</c:v>
                </c:pt>
              </c:numCache>
            </c:numRef>
          </c:val>
        </c:ser>
        <c:ser>
          <c:idx val="1"/>
          <c:order val="1"/>
          <c:tx>
            <c:strRef>
              <c:f>Sheet1!$D$238</c:f>
              <c:strCache>
                <c:ptCount val="1"/>
                <c:pt idx="0">
                  <c:v>2015թ. հունվար-հուլիս</c:v>
                </c:pt>
              </c:strCache>
            </c:strRef>
          </c:tx>
          <c:dLbls>
            <c:dLbl>
              <c:idx val="0"/>
              <c:layout>
                <c:manualLayout>
                  <c:x val="-8.0761909122502792E-3"/>
                  <c:y val="7.979524665370467E-3"/>
                </c:manualLayout>
              </c:layout>
              <c:showVal val="1"/>
            </c:dLbl>
            <c:dLbl>
              <c:idx val="1"/>
              <c:layout>
                <c:manualLayout>
                  <c:x val="-4.0380954561251396E-3"/>
                  <c:y val="1.196928699805570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1969286998055701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Sheet1!$D$239:$D$241</c:f>
              <c:numCache>
                <c:formatCode>#,##0</c:formatCode>
                <c:ptCount val="3"/>
                <c:pt idx="0">
                  <c:v>862338</c:v>
                </c:pt>
                <c:pt idx="1">
                  <c:v>415222</c:v>
                </c:pt>
                <c:pt idx="2">
                  <c:v>447116</c:v>
                </c:pt>
              </c:numCache>
            </c:numRef>
          </c:val>
        </c:ser>
        <c:ser>
          <c:idx val="2"/>
          <c:order val="2"/>
          <c:tx>
            <c:strRef>
              <c:f>Sheet1!$E$238</c:f>
              <c:strCache>
                <c:ptCount val="1"/>
                <c:pt idx="0">
                  <c:v>2016թ. հունվար-հուլիս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1969286998055701E-2"/>
                </c:manualLayout>
              </c:layout>
              <c:showVal val="1"/>
            </c:dLbl>
            <c:dLbl>
              <c:idx val="1"/>
              <c:layout>
                <c:manualLayout>
                  <c:x val="-1.2114286368375417E-2"/>
                  <c:y val="7.9795246653705399E-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Sheet1!$E$239:$E$241</c:f>
              <c:numCache>
                <c:formatCode>#,##0</c:formatCode>
                <c:ptCount val="3"/>
                <c:pt idx="0">
                  <c:v>768078</c:v>
                </c:pt>
                <c:pt idx="1">
                  <c:v>424746</c:v>
                </c:pt>
                <c:pt idx="2">
                  <c:v>343331</c:v>
                </c:pt>
              </c:numCache>
            </c:numRef>
          </c:val>
        </c:ser>
        <c:ser>
          <c:idx val="3"/>
          <c:order val="3"/>
          <c:tx>
            <c:strRef>
              <c:f>Sheet1!$F$238</c:f>
              <c:strCache>
                <c:ptCount val="1"/>
                <c:pt idx="0">
                  <c:v>2017թ. հունվար-հուլիս</c:v>
                </c:pt>
              </c:strCache>
            </c:strRef>
          </c:tx>
          <c:dLbls>
            <c:dLbl>
              <c:idx val="0"/>
              <c:layout>
                <c:manualLayout>
                  <c:x val="-8.0761909122502792E-3"/>
                  <c:y val="7.979524665370467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5959049330740931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Sheet1!$B$239:$B$241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Sheet1!$F$239:$F$241</c:f>
              <c:numCache>
                <c:formatCode>#,##0</c:formatCode>
                <c:ptCount val="3"/>
                <c:pt idx="0">
                  <c:v>899882</c:v>
                </c:pt>
                <c:pt idx="1">
                  <c:v>527472</c:v>
                </c:pt>
                <c:pt idx="2">
                  <c:v>372410</c:v>
                </c:pt>
              </c:numCache>
            </c:numRef>
          </c:val>
        </c:ser>
        <c:dLbls>
          <c:showVal val="1"/>
        </c:dLbls>
        <c:overlap val="-25"/>
        <c:axId val="124138624"/>
        <c:axId val="124140160"/>
      </c:barChart>
      <c:catAx>
        <c:axId val="1241386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4140160"/>
        <c:crosses val="autoZero"/>
        <c:auto val="1"/>
        <c:lblAlgn val="ctr"/>
        <c:lblOffset val="100"/>
      </c:catAx>
      <c:valAx>
        <c:axId val="124140160"/>
        <c:scaling>
          <c:orientation val="minMax"/>
        </c:scaling>
        <c:delete val="1"/>
        <c:axPos val="l"/>
        <c:numFmt formatCode="#,##0" sourceLinked="1"/>
        <c:tickLblPos val="nextTo"/>
        <c:crossAx val="1241386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9109094395091713E-2"/>
          <c:y val="0.18823698685608933"/>
          <c:w val="0.97793387507404494"/>
          <c:h val="8.7470041440121979E-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700"/>
              <a:t>ՀՀ բանկերի միջոցով ֆիզիկական անձանց անունով արտերկրից ստացված և ՀՀ-ից ֆիզիկական անձանց կողմից արտերկիր իրականացված փոխանցումներ (մլն ՀՀ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36299458623749548"/>
          <c:w val="1"/>
          <c:h val="0.53431288790532538"/>
        </c:manualLayout>
      </c:layout>
      <c:barChart>
        <c:barDir val="col"/>
        <c:grouping val="clustered"/>
        <c:ser>
          <c:idx val="0"/>
          <c:order val="0"/>
          <c:tx>
            <c:strRef>
              <c:f>Sheet1!$C$259</c:f>
              <c:strCache>
                <c:ptCount val="1"/>
                <c:pt idx="0">
                  <c:v>2014թ. հունվար-հուլիս</c:v>
                </c:pt>
              </c:strCache>
            </c:strRef>
          </c:tx>
          <c:dLbls>
            <c:dLbl>
              <c:idx val="0"/>
              <c:layout>
                <c:manualLayout>
                  <c:x val="-1.316116275591294E-2"/>
                  <c:y val="8.0669698238161475E-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Sheet1!$C$260:$C$262</c:f>
              <c:numCache>
                <c:formatCode>#,##0</c:formatCode>
                <c:ptCount val="3"/>
                <c:pt idx="0">
                  <c:v>488247</c:v>
                </c:pt>
                <c:pt idx="1">
                  <c:v>202663</c:v>
                </c:pt>
                <c:pt idx="2">
                  <c:v>285585</c:v>
                </c:pt>
              </c:numCache>
            </c:numRef>
          </c:val>
        </c:ser>
        <c:ser>
          <c:idx val="1"/>
          <c:order val="1"/>
          <c:tx>
            <c:strRef>
              <c:f>Sheet1!$D$259</c:f>
              <c:strCache>
                <c:ptCount val="1"/>
                <c:pt idx="0">
                  <c:v>2015թ. հունվար-հուլիս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8.066969823816111E-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Sheet1!$D$260:$D$262</c:f>
              <c:numCache>
                <c:formatCode>#,##0</c:formatCode>
                <c:ptCount val="3"/>
                <c:pt idx="0">
                  <c:v>411174</c:v>
                </c:pt>
                <c:pt idx="1">
                  <c:v>198054</c:v>
                </c:pt>
                <c:pt idx="2">
                  <c:v>213121</c:v>
                </c:pt>
              </c:numCache>
            </c:numRef>
          </c:val>
        </c:ser>
        <c:ser>
          <c:idx val="2"/>
          <c:order val="2"/>
          <c:tx>
            <c:strRef>
              <c:f>Sheet1!$E$259</c:f>
              <c:strCache>
                <c:ptCount val="1"/>
                <c:pt idx="0">
                  <c:v>2016թ. հունվար-հուլիս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8.066969823816111E-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Sheet1!$E$260:$E$262</c:f>
              <c:numCache>
                <c:formatCode>#,##0</c:formatCode>
                <c:ptCount val="3"/>
                <c:pt idx="0">
                  <c:v>370240</c:v>
                </c:pt>
                <c:pt idx="1">
                  <c:v>205133</c:v>
                </c:pt>
                <c:pt idx="2">
                  <c:v>165109</c:v>
                </c:pt>
              </c:numCache>
            </c:numRef>
          </c:val>
        </c:ser>
        <c:ser>
          <c:idx val="3"/>
          <c:order val="3"/>
          <c:tx>
            <c:strRef>
              <c:f>Sheet1!$F$259</c:f>
              <c:strCache>
                <c:ptCount val="1"/>
                <c:pt idx="0">
                  <c:v>2017թ. հունվար-հուլիս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Sheet1!$B$260:$B$262</c:f>
              <c:strCache>
                <c:ptCount val="3"/>
                <c:pt idx="0">
                  <c:v>Ներհոսք</c:v>
                </c:pt>
                <c:pt idx="1">
                  <c:v> Արտահոսք</c:v>
                </c:pt>
                <c:pt idx="2">
                  <c:v>Զուտ Ներհոսք</c:v>
                </c:pt>
              </c:strCache>
            </c:strRef>
          </c:cat>
          <c:val>
            <c:numRef>
              <c:f>Sheet1!$F$260:$F$262</c:f>
              <c:numCache>
                <c:formatCode>#,##0</c:formatCode>
                <c:ptCount val="3"/>
                <c:pt idx="0">
                  <c:v>434857</c:v>
                </c:pt>
                <c:pt idx="1">
                  <c:v>255065</c:v>
                </c:pt>
                <c:pt idx="2">
                  <c:v>179793</c:v>
                </c:pt>
              </c:numCache>
            </c:numRef>
          </c:val>
        </c:ser>
        <c:dLbls>
          <c:showVal val="1"/>
        </c:dLbls>
        <c:overlap val="-25"/>
        <c:axId val="124233984"/>
        <c:axId val="124239872"/>
      </c:barChart>
      <c:catAx>
        <c:axId val="12423398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4239872"/>
        <c:crosses val="autoZero"/>
        <c:auto val="1"/>
        <c:lblAlgn val="ctr"/>
        <c:lblOffset val="100"/>
      </c:catAx>
      <c:valAx>
        <c:axId val="124239872"/>
        <c:scaling>
          <c:orientation val="minMax"/>
        </c:scaling>
        <c:delete val="1"/>
        <c:axPos val="l"/>
        <c:numFmt formatCode="#,##0" sourceLinked="1"/>
        <c:tickLblPos val="nextTo"/>
        <c:crossAx val="1242339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9459176387561346E-2"/>
          <c:y val="0.19029981814382199"/>
          <c:w val="0.96108130178753459"/>
          <c:h val="8.7991584943604234E-2"/>
        </c:manualLayout>
      </c:layout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en-US" sz="900">
                <a:latin typeface="GHEA Grapalat" pitchFamily="50" charset="0"/>
              </a:rPr>
              <a:t>Պետական բյուջեի եկամուտները, ծախսերը և պակասուրդը/հավելուրդը, ընթացիք գներով, մլն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2846191454378566"/>
          <c:w val="1"/>
          <c:h val="0.71538085456214351"/>
        </c:manualLayout>
      </c:layout>
      <c:barChart>
        <c:barDir val="col"/>
        <c:grouping val="clustered"/>
        <c:ser>
          <c:idx val="0"/>
          <c:order val="0"/>
          <c:tx>
            <c:strRef>
              <c:f>Sheet1!$B$282</c:f>
              <c:strCache>
                <c:ptCount val="1"/>
                <c:pt idx="0">
                  <c:v>Պետական բյուջեի եկամուտներ</c:v>
                </c:pt>
              </c:strCache>
            </c:strRef>
          </c:tx>
          <c:dLbls>
            <c:dLbl>
              <c:idx val="0"/>
              <c:layout>
                <c:manualLayout>
                  <c:x val="2.7313960208076469E-3"/>
                  <c:y val="2.0794098798494049E-2"/>
                </c:manualLayout>
              </c:layout>
              <c:showVal val="1"/>
            </c:dLbl>
            <c:dLbl>
              <c:idx val="1"/>
              <c:layout>
                <c:manualLayout>
                  <c:x val="-5.4627920416152921E-3"/>
                  <c:y val="2.4952918558192858E-2"/>
                </c:manualLayout>
              </c:layout>
              <c:showVal val="1"/>
            </c:dLbl>
            <c:dLbl>
              <c:idx val="3"/>
              <c:layout>
                <c:manualLayout>
                  <c:x val="1.0015003048791542E-16"/>
                  <c:y val="1.2476459279096429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7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Sheet1!$C$281:$F$281</c:f>
              <c:strCache>
                <c:ptCount val="4"/>
                <c:pt idx="0">
                  <c:v>2014թ. հունվար-հուլիս</c:v>
                </c:pt>
                <c:pt idx="1">
                  <c:v>2015թ. հունվար-հուլիս</c:v>
                </c:pt>
                <c:pt idx="2">
                  <c:v>2016թ. հունվար-հուլիս</c:v>
                </c:pt>
                <c:pt idx="3">
                  <c:v>2017թ. հունվար-հուլիս</c:v>
                </c:pt>
              </c:strCache>
            </c:strRef>
          </c:cat>
          <c:val>
            <c:numRef>
              <c:f>Sheet1!$C$282:$F$282</c:f>
              <c:numCache>
                <c:formatCode>#,##0.00</c:formatCode>
                <c:ptCount val="4"/>
                <c:pt idx="0">
                  <c:v>630804.1</c:v>
                </c:pt>
                <c:pt idx="1">
                  <c:v>635556</c:v>
                </c:pt>
                <c:pt idx="2">
                  <c:v>641801.5</c:v>
                </c:pt>
                <c:pt idx="3">
                  <c:v>680234.3</c:v>
                </c:pt>
              </c:numCache>
            </c:numRef>
          </c:val>
        </c:ser>
        <c:ser>
          <c:idx val="1"/>
          <c:order val="1"/>
          <c:tx>
            <c:strRef>
              <c:f>Sheet1!$B$283</c:f>
              <c:strCache>
                <c:ptCount val="1"/>
                <c:pt idx="0">
                  <c:v>Պետական բյուջեի ծախսեր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0794098798494049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3.3270558077590481E-2"/>
                </c:manualLayout>
              </c:layout>
              <c:showVal val="1"/>
            </c:dLbl>
            <c:dLbl>
              <c:idx val="2"/>
              <c:layout>
                <c:manualLayout>
                  <c:x val="-2.7313960208076469E-3"/>
                  <c:y val="1.6635279038795244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2.0794098798494049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7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Sheet1!$C$281:$F$281</c:f>
              <c:strCache>
                <c:ptCount val="4"/>
                <c:pt idx="0">
                  <c:v>2014թ. հունվար-հուլիս</c:v>
                </c:pt>
                <c:pt idx="1">
                  <c:v>2015թ. հունվար-հուլիս</c:v>
                </c:pt>
                <c:pt idx="2">
                  <c:v>2016թ. հունվար-հուլիս</c:v>
                </c:pt>
                <c:pt idx="3">
                  <c:v>2017թ. հունվար-հուլիս</c:v>
                </c:pt>
              </c:strCache>
            </c:strRef>
          </c:cat>
          <c:val>
            <c:numRef>
              <c:f>Sheet1!$C$283:$F$283</c:f>
              <c:numCache>
                <c:formatCode>#,##0.00</c:formatCode>
                <c:ptCount val="4"/>
                <c:pt idx="0">
                  <c:v>628418.9</c:v>
                </c:pt>
                <c:pt idx="1">
                  <c:v>734341.6</c:v>
                </c:pt>
                <c:pt idx="2">
                  <c:v>758332.1</c:v>
                </c:pt>
                <c:pt idx="3">
                  <c:v>746543.4</c:v>
                </c:pt>
              </c:numCache>
            </c:numRef>
          </c:val>
        </c:ser>
        <c:ser>
          <c:idx val="2"/>
          <c:order val="2"/>
          <c:tx>
            <c:strRef>
              <c:f>Sheet1!$B$284</c:f>
              <c:strCache>
                <c:ptCount val="1"/>
                <c:pt idx="0">
                  <c:v>Պակասուրդ (-)/հավելուրդ (+)</c:v>
                </c:pt>
              </c:strCache>
            </c:strRef>
          </c:tx>
          <c:dLbls>
            <c:dLbl>
              <c:idx val="0"/>
              <c:layout>
                <c:manualLayout>
                  <c:x val="-8.1941880624229399E-3"/>
                  <c:y val="8.3176395193976255E-3"/>
                </c:manualLayout>
              </c:layout>
              <c:showVal val="1"/>
            </c:dLbl>
            <c:dLbl>
              <c:idx val="1"/>
              <c:layout>
                <c:manualLayout>
                  <c:x val="5.4627920416152921E-3"/>
                  <c:y val="0.12892341255066314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0.13308223231036195"/>
                </c:manualLayout>
              </c:layout>
              <c:showVal val="1"/>
            </c:dLbl>
            <c:dLbl>
              <c:idx val="3"/>
              <c:layout>
                <c:manualLayout>
                  <c:x val="-5.4627920416152921E-3"/>
                  <c:y val="0.13308223231036195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7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Sheet1!$C$281:$F$281</c:f>
              <c:strCache>
                <c:ptCount val="4"/>
                <c:pt idx="0">
                  <c:v>2014թ. հունվար-հուլիս</c:v>
                </c:pt>
                <c:pt idx="1">
                  <c:v>2015թ. հունվար-հուլիս</c:v>
                </c:pt>
                <c:pt idx="2">
                  <c:v>2016թ. հունվար-հուլիս</c:v>
                </c:pt>
                <c:pt idx="3">
                  <c:v>2017թ. հունվար-հուլիս</c:v>
                </c:pt>
              </c:strCache>
            </c:strRef>
          </c:cat>
          <c:val>
            <c:numRef>
              <c:f>Sheet1!$C$284:$F$284</c:f>
              <c:numCache>
                <c:formatCode>#,##0.00</c:formatCode>
                <c:ptCount val="4"/>
                <c:pt idx="0">
                  <c:v>2385.1999999999998</c:v>
                </c:pt>
                <c:pt idx="1">
                  <c:v>-98785.600000000006</c:v>
                </c:pt>
                <c:pt idx="2">
                  <c:v>-116530.6</c:v>
                </c:pt>
                <c:pt idx="3">
                  <c:v>-66309.100000000006</c:v>
                </c:pt>
              </c:numCache>
            </c:numRef>
          </c:val>
        </c:ser>
        <c:dLbls>
          <c:showVal val="1"/>
        </c:dLbls>
        <c:overlap val="-25"/>
        <c:axId val="124827904"/>
        <c:axId val="125108224"/>
      </c:barChart>
      <c:catAx>
        <c:axId val="1248279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25108224"/>
        <c:crosses val="autoZero"/>
        <c:auto val="1"/>
        <c:lblAlgn val="ctr"/>
        <c:lblOffset val="100"/>
      </c:catAx>
      <c:valAx>
        <c:axId val="125108224"/>
        <c:scaling>
          <c:orientation val="minMax"/>
        </c:scaling>
        <c:delete val="1"/>
        <c:axPos val="l"/>
        <c:numFmt formatCode="#,##0.00" sourceLinked="1"/>
        <c:tickLblPos val="nextTo"/>
        <c:crossAx val="1248279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72340018015045E-4"/>
          <c:y val="0.16177808865228371"/>
          <c:w val="0.99647513738383542"/>
          <c:h val="5.6833710410573744E-2"/>
        </c:manualLayout>
      </c:layout>
      <c:txPr>
        <a:bodyPr/>
        <a:lstStyle/>
        <a:p>
          <a:pPr>
            <a:defRPr sz="75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>
                <a:latin typeface="GHEA Grapalat" pitchFamily="50" charset="0"/>
              </a:defRPr>
            </a:pPr>
            <a:r>
              <a:rPr lang="en-US" sz="900">
                <a:latin typeface="GHEA Grapalat" pitchFamily="50" charset="0"/>
              </a:rPr>
              <a:t>Պետական բյուջեի պակասուրդի/հավելուրդի</a:t>
            </a:r>
            <a:r>
              <a:rPr lang="en-US" sz="900" baseline="0">
                <a:latin typeface="GHEA Grapalat" pitchFamily="50" charset="0"/>
              </a:rPr>
              <a:t> ֆինասավորման ներքին և արտաքին աղբյուրները, ընթացիք գներով, մլն դրամ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1.3268244410673686E-2"/>
          <c:y val="0.24718976760056727"/>
          <c:w val="0.98673175558932635"/>
          <c:h val="0.7528102323994329"/>
        </c:manualLayout>
      </c:layout>
      <c:barChart>
        <c:barDir val="col"/>
        <c:grouping val="stacked"/>
        <c:ser>
          <c:idx val="0"/>
          <c:order val="0"/>
          <c:tx>
            <c:strRef>
              <c:f>Sheet1!$B$304</c:f>
              <c:strCache>
                <c:ptCount val="1"/>
                <c:pt idx="0">
                  <c:v>    ֆինանսավորման ներքին աղբյուրներ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3.327055807759048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Sheet1!$C$303:$F$303</c:f>
              <c:strCache>
                <c:ptCount val="4"/>
                <c:pt idx="0">
                  <c:v>2014թ. հունվար-հուլիս</c:v>
                </c:pt>
                <c:pt idx="1">
                  <c:v>2015թ. հունվար-հուլիս</c:v>
                </c:pt>
                <c:pt idx="2">
                  <c:v>2016թ. հունվար-հուլիս</c:v>
                </c:pt>
                <c:pt idx="3">
                  <c:v>2017թ. հունվար-հուլիս</c:v>
                </c:pt>
              </c:strCache>
            </c:strRef>
          </c:cat>
          <c:val>
            <c:numRef>
              <c:f>Sheet1!$C$304:$F$304</c:f>
              <c:numCache>
                <c:formatCode>#,##0.00</c:formatCode>
                <c:ptCount val="4"/>
                <c:pt idx="0">
                  <c:v>22288.3</c:v>
                </c:pt>
                <c:pt idx="1">
                  <c:v>-32724.1</c:v>
                </c:pt>
                <c:pt idx="2">
                  <c:v>125179.5</c:v>
                </c:pt>
                <c:pt idx="3">
                  <c:v>87830.399999999994</c:v>
                </c:pt>
              </c:numCache>
            </c:numRef>
          </c:val>
        </c:ser>
        <c:ser>
          <c:idx val="1"/>
          <c:order val="1"/>
          <c:tx>
            <c:strRef>
              <c:f>Sheet1!$B$305</c:f>
              <c:strCache>
                <c:ptCount val="1"/>
                <c:pt idx="0">
                  <c:v>    ֆինանսավորման արտաքին աղբյուրներ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2.4952918558192858E-2"/>
                </c:manualLayout>
              </c:layout>
              <c:showVal val="1"/>
            </c:dLbl>
            <c:dLbl>
              <c:idx val="3"/>
              <c:layout>
                <c:manualLayout>
                  <c:x val="9.7299335001386307E-17"/>
                  <c:y val="1.663560650491804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Sheet1!$C$303:$F$303</c:f>
              <c:strCache>
                <c:ptCount val="4"/>
                <c:pt idx="0">
                  <c:v>2014թ. հունվար-հուլիս</c:v>
                </c:pt>
                <c:pt idx="1">
                  <c:v>2015թ. հունվար-հուլիս</c:v>
                </c:pt>
                <c:pt idx="2">
                  <c:v>2016թ. հունվար-հուլիս</c:v>
                </c:pt>
                <c:pt idx="3">
                  <c:v>2017թ. հունվար-հուլիս</c:v>
                </c:pt>
              </c:strCache>
            </c:strRef>
          </c:cat>
          <c:val>
            <c:numRef>
              <c:f>Sheet1!$C$305:$F$305</c:f>
              <c:numCache>
                <c:formatCode>#,##0.00</c:formatCode>
                <c:ptCount val="4"/>
                <c:pt idx="0">
                  <c:v>-24673.5</c:v>
                </c:pt>
                <c:pt idx="1">
                  <c:v>131509.70000000001</c:v>
                </c:pt>
                <c:pt idx="2">
                  <c:v>-8648.9</c:v>
                </c:pt>
                <c:pt idx="3">
                  <c:v>-21521.3</c:v>
                </c:pt>
              </c:numCache>
            </c:numRef>
          </c:val>
        </c:ser>
        <c:dLbls>
          <c:showVal val="1"/>
        </c:dLbls>
        <c:gapWidth val="95"/>
        <c:overlap val="100"/>
        <c:axId val="125154432"/>
        <c:axId val="125155968"/>
      </c:barChart>
      <c:catAx>
        <c:axId val="12515443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900" b="1">
                <a:latin typeface="GHEA Grapalat" pitchFamily="50" charset="0"/>
              </a:defRPr>
            </a:pPr>
            <a:endParaRPr lang="en-US"/>
          </a:p>
        </c:txPr>
        <c:crossAx val="125155968"/>
        <c:crosses val="autoZero"/>
        <c:auto val="1"/>
        <c:lblAlgn val="ctr"/>
        <c:lblOffset val="100"/>
      </c:catAx>
      <c:valAx>
        <c:axId val="125155968"/>
        <c:scaling>
          <c:orientation val="minMax"/>
        </c:scaling>
        <c:delete val="1"/>
        <c:axPos val="l"/>
        <c:numFmt formatCode="#,##0.00" sourceLinked="1"/>
        <c:tickLblPos val="nextTo"/>
        <c:crossAx val="1251544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01900117073974E-2"/>
          <c:y val="0.16177808865228371"/>
          <c:w val="0.98758071428287852"/>
          <c:h val="6.0992530170272556E-2"/>
        </c:manualLayout>
      </c:layout>
      <c:txPr>
        <a:bodyPr/>
        <a:lstStyle/>
        <a:p>
          <a:pPr>
            <a:defRPr sz="800" b="1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Արդյունաբերական արտադրանքի, գյուղատնտեսության համախառն արտադրանքի և իրականացված շինարարության ծավալները (ընթացիկ գներով, մլն դրամ)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Sheet1!$C$24</c:f>
              <c:strCache>
                <c:ptCount val="1"/>
                <c:pt idx="0">
                  <c:v>2014թ. հունվար-հուլիս</c:v>
                </c:pt>
              </c:strCache>
            </c:strRef>
          </c:tx>
          <c:dLbls>
            <c:dLbl>
              <c:idx val="0"/>
              <c:layout>
                <c:manualLayout>
                  <c:x val="-5.4094057639987019E-3"/>
                  <c:y val="9.2592592592592223E-3"/>
                </c:manualLayout>
              </c:layout>
              <c:showVal val="1"/>
            </c:dLbl>
            <c:dLbl>
              <c:idx val="1"/>
              <c:layout>
                <c:manualLayout>
                  <c:x val="-5.4094057639987019E-3"/>
                  <c:y val="0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Sheet1!$C$25:$C$27</c:f>
              <c:numCache>
                <c:formatCode>#,##0.0</c:formatCode>
                <c:ptCount val="3"/>
                <c:pt idx="0">
                  <c:v>693653.4</c:v>
                </c:pt>
                <c:pt idx="1">
                  <c:v>316098.2</c:v>
                </c:pt>
                <c:pt idx="2">
                  <c:v>159938.6</c:v>
                </c:pt>
              </c:numCache>
            </c:numRef>
          </c:val>
        </c:ser>
        <c:ser>
          <c:idx val="1"/>
          <c:order val="1"/>
          <c:tx>
            <c:strRef>
              <c:f>Sheet1!$D$24</c:f>
              <c:strCache>
                <c:ptCount val="1"/>
                <c:pt idx="0">
                  <c:v>2015թ. հունվար-հուլիս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2592592592592622E-3"/>
                </c:manualLayout>
              </c:layout>
              <c:showVal val="1"/>
            </c:dLbl>
            <c:dLbl>
              <c:idx val="1"/>
              <c:layout>
                <c:manualLayout>
                  <c:x val="-5.4094057639987522E-3"/>
                  <c:y val="9.2592592592592622E-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Sheet1!$D$25:$D$27</c:f>
              <c:numCache>
                <c:formatCode>#,##0.0</c:formatCode>
                <c:ptCount val="3"/>
                <c:pt idx="0">
                  <c:v>722360.1</c:v>
                </c:pt>
                <c:pt idx="1">
                  <c:v>328386.7</c:v>
                </c:pt>
                <c:pt idx="2">
                  <c:v>170814.8</c:v>
                </c:pt>
              </c:numCache>
            </c:numRef>
          </c:val>
        </c:ser>
        <c:ser>
          <c:idx val="2"/>
          <c:order val="2"/>
          <c:tx>
            <c:strRef>
              <c:f>Sheet1!$E$24</c:f>
              <c:strCache>
                <c:ptCount val="1"/>
                <c:pt idx="0">
                  <c:v>2016թ. հունվար-հուլիս</c:v>
                </c:pt>
              </c:strCache>
            </c:strRef>
          </c:tx>
          <c:dLbls>
            <c:dLbl>
              <c:idx val="0"/>
              <c:layout>
                <c:manualLayout>
                  <c:x val="-2.7047028819993514E-3"/>
                  <c:y val="1.3888888888888892E-2"/>
                </c:manualLayout>
              </c:layout>
              <c:showVal val="1"/>
            </c:dLbl>
            <c:dLbl>
              <c:idx val="1"/>
              <c:layout>
                <c:manualLayout>
                  <c:x val="-5.4094057639987019E-3"/>
                  <c:y val="9.2592592592592622E-3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Sheet1!$E$25:$E$27</c:f>
              <c:numCache>
                <c:formatCode>#,##0.0</c:formatCode>
                <c:ptCount val="3"/>
                <c:pt idx="0">
                  <c:v>777448.9</c:v>
                </c:pt>
                <c:pt idx="1">
                  <c:v>344017.4</c:v>
                </c:pt>
                <c:pt idx="2">
                  <c:v>158698.6</c:v>
                </c:pt>
              </c:numCache>
            </c:numRef>
          </c:val>
        </c:ser>
        <c:ser>
          <c:idx val="3"/>
          <c:order val="3"/>
          <c:tx>
            <c:strRef>
              <c:f>Sheet1!$F$24</c:f>
              <c:strCache>
                <c:ptCount val="1"/>
                <c:pt idx="0">
                  <c:v>2017թ. հունվար-հուլիս</c:v>
                </c:pt>
              </c:strCache>
            </c:strRef>
          </c:tx>
          <c:dLbls>
            <c:dLbl>
              <c:idx val="0"/>
              <c:layout>
                <c:manualLayout>
                  <c:x val="5.4094057639987019E-3"/>
                  <c:y val="3.7037037037037042E-2"/>
                </c:manualLayout>
              </c:layout>
              <c:showVal val="1"/>
            </c:dLbl>
            <c:dLbl>
              <c:idx val="1"/>
              <c:layout>
                <c:manualLayout>
                  <c:x val="-2.7047028819993514E-3"/>
                  <c:y val="1.8518518518518521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Sheet1!$B$25:$B$27</c:f>
              <c:strCache>
                <c:ptCount val="3"/>
                <c:pt idx="0">
                  <c:v>Արդյունաբերական արտադրանք</c:v>
                </c:pt>
                <c:pt idx="1">
                  <c:v>Գյուղատնտեսության համախառն արտադրանք</c:v>
                </c:pt>
                <c:pt idx="2">
                  <c:v>Իրականացված շինարարության ծավալը</c:v>
                </c:pt>
              </c:strCache>
            </c:strRef>
          </c:cat>
          <c:val>
            <c:numRef>
              <c:f>Sheet1!$F$25:$F$27</c:f>
              <c:numCache>
                <c:formatCode>#,##0.0</c:formatCode>
                <c:ptCount val="3"/>
                <c:pt idx="0">
                  <c:v>899590.5</c:v>
                </c:pt>
                <c:pt idx="1">
                  <c:v>334833</c:v>
                </c:pt>
                <c:pt idx="2">
                  <c:v>143859.4</c:v>
                </c:pt>
              </c:numCache>
            </c:numRef>
          </c:val>
        </c:ser>
        <c:dLbls>
          <c:showVal val="1"/>
        </c:dLbls>
        <c:overlap val="-25"/>
        <c:axId val="93023616"/>
        <c:axId val="93044736"/>
      </c:barChart>
      <c:catAx>
        <c:axId val="930236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93044736"/>
        <c:crosses val="autoZero"/>
        <c:auto val="1"/>
        <c:lblAlgn val="ctr"/>
        <c:lblOffset val="100"/>
      </c:catAx>
      <c:valAx>
        <c:axId val="93044736"/>
        <c:scaling>
          <c:orientation val="minMax"/>
        </c:scaling>
        <c:delete val="1"/>
        <c:axPos val="l"/>
        <c:numFmt formatCode="#,##0.0" sourceLinked="1"/>
        <c:tickLblPos val="nextTo"/>
        <c:crossAx val="930236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0884778592383177E-2"/>
          <c:y val="0.20300925925925925"/>
          <c:w val="0.96363963561050181"/>
          <c:h val="9.1459609215514714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Առևտրի շրջանառություն և այլ ծառայություններ (ընթացիկ գներով, մլն դրամ)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30010936132983396"/>
          <c:w val="0.99721338575386231"/>
          <c:h val="0.5763877952755907"/>
        </c:manualLayout>
      </c:layout>
      <c:barChart>
        <c:barDir val="col"/>
        <c:grouping val="clustered"/>
        <c:ser>
          <c:idx val="0"/>
          <c:order val="0"/>
          <c:tx>
            <c:strRef>
              <c:f>Sheet1!$C$46</c:f>
              <c:strCache>
                <c:ptCount val="1"/>
                <c:pt idx="0">
                  <c:v>2014թ. հունվար-հուլիս</c:v>
                </c:pt>
              </c:strCache>
            </c:strRef>
          </c:tx>
          <c:dLbls>
            <c:dLbl>
              <c:idx val="0"/>
              <c:layout>
                <c:manualLayout>
                  <c:x val="-3.0652756707512142E-2"/>
                  <c:y val="-2.7777777777777748E-2"/>
                </c:manualLayout>
              </c:layout>
              <c:showVal val="1"/>
            </c:dLbl>
            <c:dLbl>
              <c:idx val="1"/>
              <c:layout>
                <c:manualLayout>
                  <c:x val="-1.9506299722962275E-2"/>
                  <c:y val="1.3888888888888977E-2"/>
                </c:manualLayout>
              </c:layout>
              <c:showVal val="1"/>
            </c:dLbl>
            <c:txPr>
              <a:bodyPr rot="0" vert="horz"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Sheet1!$C$47:$C$48</c:f>
              <c:numCache>
                <c:formatCode>#,##0.0</c:formatCode>
                <c:ptCount val="2"/>
                <c:pt idx="0">
                  <c:v>1213366.2</c:v>
                </c:pt>
                <c:pt idx="1">
                  <c:v>599550.80000000005</c:v>
                </c:pt>
              </c:numCache>
            </c:numRef>
          </c:val>
        </c:ser>
        <c:ser>
          <c:idx val="1"/>
          <c:order val="1"/>
          <c:tx>
            <c:strRef>
              <c:f>Sheet1!$D$46</c:f>
              <c:strCache>
                <c:ptCount val="1"/>
                <c:pt idx="0">
                  <c:v>2015թ. հունվար-հուլիս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8518518518518521E-2"/>
                </c:manualLayout>
              </c:layout>
              <c:showVal val="1"/>
            </c:dLbl>
            <c:dLbl>
              <c:idx val="1"/>
              <c:layout>
                <c:manualLayout>
                  <c:x val="-5.5732284922749382E-3"/>
                  <c:y val="4.629629629629630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Sheet1!$D$47:$D$48</c:f>
              <c:numCache>
                <c:formatCode>#,##0.0</c:formatCode>
                <c:ptCount val="2"/>
                <c:pt idx="0">
                  <c:v>1211339.1000000001</c:v>
                </c:pt>
                <c:pt idx="1">
                  <c:v>641790.19999999972</c:v>
                </c:pt>
              </c:numCache>
            </c:numRef>
          </c:val>
        </c:ser>
        <c:ser>
          <c:idx val="2"/>
          <c:order val="2"/>
          <c:tx>
            <c:strRef>
              <c:f>Sheet1!$E$46</c:f>
              <c:strCache>
                <c:ptCount val="1"/>
                <c:pt idx="0">
                  <c:v>2016թ. հունվար-հուլիս</c:v>
                </c:pt>
              </c:strCache>
            </c:strRef>
          </c:tx>
          <c:dLbls>
            <c:dLbl>
              <c:idx val="0"/>
              <c:layout>
                <c:manualLayout>
                  <c:x val="1.67196854768248E-2"/>
                  <c:y val="-3.7037037037037E-2"/>
                </c:manualLayout>
              </c:layout>
              <c:showVal val="1"/>
            </c:dLbl>
            <c:dLbl>
              <c:idx val="1"/>
              <c:layout>
                <c:manualLayout>
                  <c:x val="-5.5732284922749382E-3"/>
                  <c:y val="-9.259259259259262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Sheet1!$E$47:$E$48</c:f>
              <c:numCache>
                <c:formatCode>#,##0.0</c:formatCode>
                <c:ptCount val="2"/>
                <c:pt idx="0">
                  <c:v>1174006.8</c:v>
                </c:pt>
                <c:pt idx="1">
                  <c:v>690062.3</c:v>
                </c:pt>
              </c:numCache>
            </c:numRef>
          </c:val>
        </c:ser>
        <c:ser>
          <c:idx val="3"/>
          <c:order val="3"/>
          <c:tx>
            <c:strRef>
              <c:f>Sheet1!$F$46</c:f>
              <c:strCache>
                <c:ptCount val="1"/>
                <c:pt idx="0">
                  <c:v>2017թ. հունվար-հուլիս</c:v>
                </c:pt>
              </c:strCache>
            </c:strRef>
          </c:tx>
          <c:dLbls>
            <c:dLbl>
              <c:idx val="0"/>
              <c:layout>
                <c:manualLayout>
                  <c:x val="5.2945670676611885E-2"/>
                  <c:y val="-9.2592592592592622E-3"/>
                </c:manualLayout>
              </c:layout>
              <c:showVal val="1"/>
            </c:dLbl>
            <c:dLbl>
              <c:idx val="1"/>
              <c:layout>
                <c:manualLayout>
                  <c:x val="5.5732284922749382E-3"/>
                  <c:y val="-9.259259259259262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Sheet1!$B$47:$B$48</c:f>
              <c:strCache>
                <c:ptCount val="2"/>
                <c:pt idx="0">
                  <c:v>Առևտրի շրջանառություն</c:v>
                </c:pt>
                <c:pt idx="1">
                  <c:v>Այլ ծառայություններ</c:v>
                </c:pt>
              </c:strCache>
            </c:strRef>
          </c:cat>
          <c:val>
            <c:numRef>
              <c:f>Sheet1!$F$47:$F$48</c:f>
              <c:numCache>
                <c:formatCode>#,##0.0</c:formatCode>
                <c:ptCount val="2"/>
                <c:pt idx="0" formatCode="#,##0.0;[Red]#,##0.0">
                  <c:v>1346761.6</c:v>
                </c:pt>
                <c:pt idx="1">
                  <c:v>774537.2</c:v>
                </c:pt>
              </c:numCache>
            </c:numRef>
          </c:val>
        </c:ser>
        <c:dLbls>
          <c:showVal val="1"/>
        </c:dLbls>
        <c:overlap val="-25"/>
        <c:axId val="98648064"/>
        <c:axId val="98693888"/>
      </c:barChart>
      <c:catAx>
        <c:axId val="986480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98693888"/>
        <c:crosses val="autoZero"/>
        <c:auto val="1"/>
        <c:lblAlgn val="ctr"/>
        <c:lblOffset val="100"/>
      </c:catAx>
      <c:valAx>
        <c:axId val="98693888"/>
        <c:scaling>
          <c:orientation val="minMax"/>
        </c:scaling>
        <c:delete val="1"/>
        <c:axPos val="l"/>
        <c:numFmt formatCode="#,##0.0" sourceLinked="1"/>
        <c:tickLblPos val="nextTo"/>
        <c:crossAx val="986480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0455723332650212E-2"/>
          <c:y val="0.15231481481481485"/>
          <c:w val="0.9563019390885622"/>
          <c:h val="0.10149825021872266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Իրական աճը  նախորդ տարվա նույն  ժամանակահատվածի նկատմաբ /%/</a:t>
            </a:r>
          </a:p>
        </c:rich>
      </c:tx>
    </c:title>
    <c:plotArea>
      <c:layout>
        <c:manualLayout>
          <c:layoutTarget val="inner"/>
          <c:xMode val="edge"/>
          <c:yMode val="edge"/>
          <c:x val="2.9841194433858929E-2"/>
          <c:y val="0.25303368328958881"/>
          <c:w val="0.94031761113228218"/>
          <c:h val="0.56277267424905231"/>
        </c:manualLayout>
      </c:layout>
      <c:barChart>
        <c:barDir val="col"/>
        <c:grouping val="clustered"/>
        <c:ser>
          <c:idx val="0"/>
          <c:order val="0"/>
          <c:tx>
            <c:strRef>
              <c:f>Sheet1!$C$69</c:f>
              <c:strCache>
                <c:ptCount val="1"/>
                <c:pt idx="0">
                  <c:v>2014թ. հունվար-հուլիս</c:v>
                </c:pt>
              </c:strCache>
            </c:strRef>
          </c:tx>
          <c:dLbls>
            <c:dLbl>
              <c:idx val="0"/>
              <c:layout>
                <c:manualLayout>
                  <c:x val="-8.1385075728706222E-3"/>
                  <c:y val="9.2592592592592622E-3"/>
                </c:manualLayout>
              </c:layout>
              <c:showVal val="1"/>
            </c:dLbl>
            <c:dLbl>
              <c:idx val="1"/>
              <c:layout>
                <c:manualLayout>
                  <c:x val="-2.7128358576235393E-3"/>
                  <c:y val="9.2592592592592223E-3"/>
                </c:manualLayout>
              </c:layout>
              <c:showVal val="1"/>
            </c:dLbl>
            <c:dLbl>
              <c:idx val="2"/>
              <c:layout>
                <c:manualLayout>
                  <c:x val="-5.4256717152470794E-3"/>
                  <c:y val="1.3888888888888935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Sheet1!$C$70:$C$72</c:f>
              <c:numCache>
                <c:formatCode>0.0</c:formatCode>
                <c:ptCount val="3"/>
                <c:pt idx="0">
                  <c:v>101.5</c:v>
                </c:pt>
                <c:pt idx="1">
                  <c:v>103.2</c:v>
                </c:pt>
                <c:pt idx="2">
                  <c:v>100.5</c:v>
                </c:pt>
              </c:numCache>
            </c:numRef>
          </c:val>
        </c:ser>
        <c:ser>
          <c:idx val="1"/>
          <c:order val="1"/>
          <c:tx>
            <c:strRef>
              <c:f>Sheet1!$D$69</c:f>
              <c:strCache>
                <c:ptCount val="1"/>
                <c:pt idx="0">
                  <c:v>2015թ. հունվար-հուլիս</c:v>
                </c:pt>
              </c:strCache>
            </c:strRef>
          </c:tx>
          <c:dLbls>
            <c:dLbl>
              <c:idx val="1"/>
              <c:layout>
                <c:manualLayout>
                  <c:x val="5.4256717152470794E-3"/>
                  <c:y val="9.259259259259262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Sheet1!$D$70:$D$72</c:f>
              <c:numCache>
                <c:formatCode>0.0</c:formatCode>
                <c:ptCount val="3"/>
                <c:pt idx="0">
                  <c:v>104.1</c:v>
                </c:pt>
                <c:pt idx="1">
                  <c:v>114.8</c:v>
                </c:pt>
                <c:pt idx="2">
                  <c:v>100.4</c:v>
                </c:pt>
              </c:numCache>
            </c:numRef>
          </c:val>
        </c:ser>
        <c:ser>
          <c:idx val="2"/>
          <c:order val="2"/>
          <c:tx>
            <c:strRef>
              <c:f>Sheet1!$E$69</c:f>
              <c:strCache>
                <c:ptCount val="1"/>
                <c:pt idx="0">
                  <c:v>2016թ. հունվար-հուլիս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9.259259259259262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Sheet1!$E$70:$E$72</c:f>
              <c:numCache>
                <c:formatCode>0.0</c:formatCode>
                <c:ptCount val="3"/>
                <c:pt idx="0">
                  <c:v>107.9</c:v>
                </c:pt>
                <c:pt idx="1">
                  <c:v>101.3</c:v>
                </c:pt>
                <c:pt idx="2">
                  <c:v>92.4</c:v>
                </c:pt>
              </c:numCache>
            </c:numRef>
          </c:val>
        </c:ser>
        <c:ser>
          <c:idx val="3"/>
          <c:order val="3"/>
          <c:tx>
            <c:strRef>
              <c:f>Sheet1!$F$69</c:f>
              <c:strCache>
                <c:ptCount val="1"/>
                <c:pt idx="0">
                  <c:v>2017թ. հունվար-հուլիս</c:v>
                </c:pt>
              </c:strCache>
            </c:strRef>
          </c:tx>
          <c:dLbls>
            <c:dLbl>
              <c:idx val="1"/>
              <c:layout>
                <c:manualLayout>
                  <c:x val="2.7128358576235393E-3"/>
                  <c:y val="1.3888888888888935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Sheet1!$B$70:$B$72</c:f>
              <c:strCache>
                <c:ptCount val="3"/>
                <c:pt idx="0">
                  <c:v>     Արդյունաբերական արտադրանքի ծավալը</c:v>
                </c:pt>
                <c:pt idx="1">
                  <c:v>   Գյուղատնտեսության համախառն արտադրանքը</c:v>
                </c:pt>
                <c:pt idx="2">
                  <c:v>    Իրականացված շինարարության ծավալը</c:v>
                </c:pt>
              </c:strCache>
            </c:strRef>
          </c:cat>
          <c:val>
            <c:numRef>
              <c:f>Sheet1!$F$70:$F$72</c:f>
              <c:numCache>
                <c:formatCode>0.0</c:formatCode>
                <c:ptCount val="3"/>
                <c:pt idx="0">
                  <c:v>112.7</c:v>
                </c:pt>
                <c:pt idx="1">
                  <c:v>97.9</c:v>
                </c:pt>
                <c:pt idx="2">
                  <c:v>91.3</c:v>
                </c:pt>
              </c:numCache>
            </c:numRef>
          </c:val>
        </c:ser>
        <c:dLbls>
          <c:showVal val="1"/>
        </c:dLbls>
        <c:overlap val="-25"/>
        <c:axId val="100422016"/>
        <c:axId val="100423936"/>
      </c:barChart>
      <c:catAx>
        <c:axId val="1004220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00423936"/>
        <c:crosses val="autoZero"/>
        <c:auto val="1"/>
        <c:lblAlgn val="ctr"/>
        <c:lblOffset val="100"/>
      </c:catAx>
      <c:valAx>
        <c:axId val="100423936"/>
        <c:scaling>
          <c:orientation val="minMax"/>
        </c:scaling>
        <c:delete val="1"/>
        <c:axPos val="l"/>
        <c:numFmt formatCode="0.0" sourceLinked="1"/>
        <c:tickLblPos val="nextTo"/>
        <c:crossAx val="1004220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7366131162837004E-3"/>
          <c:y val="0.15231481481481485"/>
          <c:w val="0.9798139379098092"/>
          <c:h val="9.6868620589093055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Իրական աճը  նախորդ տարվա նույն ժամանակաշրջանի նկատմամբ /%/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30395960921551485"/>
          <c:w val="1"/>
          <c:h val="0.56434674832312637"/>
        </c:manualLayout>
      </c:layout>
      <c:barChart>
        <c:barDir val="col"/>
        <c:grouping val="clustered"/>
        <c:ser>
          <c:idx val="0"/>
          <c:order val="0"/>
          <c:tx>
            <c:strRef>
              <c:f>Sheet1!$C$93</c:f>
              <c:strCache>
                <c:ptCount val="1"/>
                <c:pt idx="0">
                  <c:v>2014թ. հունվար-հուլիս</c:v>
                </c:pt>
              </c:strCache>
            </c:strRef>
          </c:tx>
          <c:dLbls>
            <c:dLbl>
              <c:idx val="0"/>
              <c:layout>
                <c:manualLayout>
                  <c:x val="-2.7952480782669465E-3"/>
                  <c:y val="9.2592592592592622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9.259259259259262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Sheet1!$C$94:$C$95</c:f>
              <c:numCache>
                <c:formatCode>0.00;[Red]0.00</c:formatCode>
                <c:ptCount val="2"/>
                <c:pt idx="0">
                  <c:v>105.6</c:v>
                </c:pt>
                <c:pt idx="1">
                  <c:v>105.5</c:v>
                </c:pt>
              </c:numCache>
            </c:numRef>
          </c:val>
        </c:ser>
        <c:ser>
          <c:idx val="1"/>
          <c:order val="1"/>
          <c:tx>
            <c:strRef>
              <c:f>Sheet1!$D$93</c:f>
              <c:strCache>
                <c:ptCount val="1"/>
                <c:pt idx="0">
                  <c:v>2015թ. հունվար-հուլիս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8518518518518521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9.259259259259262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Sheet1!$D$94:$D$95</c:f>
              <c:numCache>
                <c:formatCode>0.00;[Red]0.00</c:formatCode>
                <c:ptCount val="2"/>
                <c:pt idx="0">
                  <c:v>95.3</c:v>
                </c:pt>
                <c:pt idx="1">
                  <c:v>102.4</c:v>
                </c:pt>
              </c:numCache>
            </c:numRef>
          </c:val>
        </c:ser>
        <c:ser>
          <c:idx val="2"/>
          <c:order val="2"/>
          <c:tx>
            <c:strRef>
              <c:f>Sheet1!$E$93</c:f>
              <c:strCache>
                <c:ptCount val="1"/>
                <c:pt idx="0">
                  <c:v>2016թ. հունվար-հուլիս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2592592592592622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851851851851852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Sheet1!$E$94:$E$95</c:f>
              <c:numCache>
                <c:formatCode>0.00;[Red]0.00</c:formatCode>
                <c:ptCount val="2"/>
                <c:pt idx="0">
                  <c:v>99.6</c:v>
                </c:pt>
                <c:pt idx="1">
                  <c:v>107.6</c:v>
                </c:pt>
              </c:numCache>
            </c:numRef>
          </c:val>
        </c:ser>
        <c:ser>
          <c:idx val="3"/>
          <c:order val="3"/>
          <c:tx>
            <c:strRef>
              <c:f>Sheet1!$F$93</c:f>
              <c:strCache>
                <c:ptCount val="1"/>
                <c:pt idx="0">
                  <c:v>2017թ. հունվար-հուլիս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8518518518518566E-2"/>
                </c:manualLayout>
              </c:layout>
              <c:showVal val="1"/>
            </c:dLbl>
            <c:dLbl>
              <c:idx val="1"/>
              <c:layout>
                <c:manualLayout>
                  <c:x val="2.7952480782669465E-3"/>
                  <c:y val="9.2592592592592223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Sheet1!$B$94:$B$95</c:f>
              <c:strCache>
                <c:ptCount val="2"/>
                <c:pt idx="0">
                  <c:v>  Առևտրի շրջանառությունը</c:v>
                </c:pt>
                <c:pt idx="1">
                  <c:v>     Այլ ծառայություններ</c:v>
                </c:pt>
              </c:strCache>
            </c:strRef>
          </c:cat>
          <c:val>
            <c:numRef>
              <c:f>Sheet1!$F$94:$F$95</c:f>
              <c:numCache>
                <c:formatCode>0.00;[Red]0.00</c:formatCode>
                <c:ptCount val="2"/>
                <c:pt idx="0">
                  <c:v>112.2</c:v>
                </c:pt>
                <c:pt idx="1">
                  <c:v>111.8</c:v>
                </c:pt>
              </c:numCache>
            </c:numRef>
          </c:val>
        </c:ser>
        <c:dLbls>
          <c:showVal val="1"/>
        </c:dLbls>
        <c:overlap val="-25"/>
        <c:axId val="101025664"/>
        <c:axId val="120897920"/>
      </c:barChart>
      <c:catAx>
        <c:axId val="1010256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0897920"/>
        <c:crosses val="autoZero"/>
        <c:auto val="1"/>
        <c:lblAlgn val="ctr"/>
        <c:lblOffset val="100"/>
      </c:catAx>
      <c:valAx>
        <c:axId val="120897920"/>
        <c:scaling>
          <c:orientation val="minMax"/>
        </c:scaling>
        <c:delete val="1"/>
        <c:axPos val="l"/>
        <c:numFmt formatCode="0.00;[Red]0.00" sourceLinked="1"/>
        <c:tickLblPos val="nextTo"/>
        <c:crossAx val="1010256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6174581950841063E-2"/>
          <c:y val="0.18009259259259264"/>
          <c:w val="0.96206011984351014"/>
          <c:h val="0.10149825021872266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Սպառողական գների ինդեքս /%/</a:t>
            </a:r>
          </a:p>
        </c:rich>
      </c:tx>
    </c:title>
    <c:plotArea>
      <c:layout>
        <c:manualLayout>
          <c:layoutTarget val="inner"/>
          <c:xMode val="edge"/>
          <c:yMode val="edge"/>
          <c:x val="1.397347855775217E-2"/>
          <c:y val="0.24863553514144071"/>
          <c:w val="0.97205304288449579"/>
          <c:h val="0.58430446194225705"/>
        </c:manualLayout>
      </c:layout>
      <c:barChart>
        <c:barDir val="col"/>
        <c:grouping val="clustered"/>
        <c:ser>
          <c:idx val="0"/>
          <c:order val="0"/>
          <c:tx>
            <c:strRef>
              <c:f>Sheet1!$C$116</c:f>
              <c:strCache>
                <c:ptCount val="1"/>
                <c:pt idx="0">
                  <c:v>2014թ. հունվար-հուլիս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9.2592592592592622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851851851851852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Sheet1!$C$117:$C$118</c:f>
              <c:numCache>
                <c:formatCode>0.0</c:formatCode>
                <c:ptCount val="2"/>
                <c:pt idx="0">
                  <c:v>103.4</c:v>
                </c:pt>
                <c:pt idx="1">
                  <c:v>98.1</c:v>
                </c:pt>
              </c:numCache>
            </c:numRef>
          </c:val>
        </c:ser>
        <c:ser>
          <c:idx val="1"/>
          <c:order val="1"/>
          <c:tx>
            <c:strRef>
              <c:f>Sheet1!$D$116</c:f>
              <c:strCache>
                <c:ptCount val="1"/>
                <c:pt idx="0">
                  <c:v>2015թ. հունվար-հուլիս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388888888888889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851851851851852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Sheet1!$D$117:$D$118</c:f>
              <c:numCache>
                <c:formatCode>0.0</c:formatCode>
                <c:ptCount val="2"/>
                <c:pt idx="0">
                  <c:v>105</c:v>
                </c:pt>
                <c:pt idx="1">
                  <c:v>97.8</c:v>
                </c:pt>
              </c:numCache>
            </c:numRef>
          </c:val>
        </c:ser>
        <c:ser>
          <c:idx val="2"/>
          <c:order val="2"/>
          <c:tx>
            <c:strRef>
              <c:f>Sheet1!$E$116</c:f>
              <c:strCache>
                <c:ptCount val="1"/>
                <c:pt idx="0">
                  <c:v>2016թ. հունվար-հուլիս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8518518518518521E-2"/>
                </c:manualLayout>
              </c:layout>
              <c:showVal val="1"/>
            </c:dLbl>
            <c:dLbl>
              <c:idx val="1"/>
              <c:layout>
                <c:manualLayout>
                  <c:x val="1.0247099233653499E-16"/>
                  <c:y val="9.259259259259262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Sheet1!$E$117:$E$118</c:f>
              <c:numCache>
                <c:formatCode>0.0</c:formatCode>
                <c:ptCount val="2"/>
                <c:pt idx="0">
                  <c:v>98.5</c:v>
                </c:pt>
                <c:pt idx="1">
                  <c:v>96.7</c:v>
                </c:pt>
              </c:numCache>
            </c:numRef>
          </c:val>
        </c:ser>
        <c:ser>
          <c:idx val="3"/>
          <c:order val="3"/>
          <c:tx>
            <c:strRef>
              <c:f>Sheet1!$F$116</c:f>
              <c:strCache>
                <c:ptCount val="1"/>
                <c:pt idx="0">
                  <c:v>2017թ. հունվար-հուլիս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388888888888889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9.259259259259262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Sheet1!$B$117:$B$118</c:f>
              <c:strCache>
                <c:ptCount val="2"/>
                <c:pt idx="0">
                  <c:v>     նախորդ տարվա նույն ժամանակաշրջանի նկատմամբ</c:v>
                </c:pt>
                <c:pt idx="1">
                  <c:v>     ժամանակաշրջանի վերջին ամիսը նախորդ տարվա դեկտեմբերի նկատմամբ</c:v>
                </c:pt>
              </c:strCache>
            </c:strRef>
          </c:cat>
          <c:val>
            <c:numRef>
              <c:f>Sheet1!$F$117:$F$118</c:f>
              <c:numCache>
                <c:formatCode>0.0</c:formatCode>
                <c:ptCount val="2"/>
                <c:pt idx="0">
                  <c:v>100.5</c:v>
                </c:pt>
                <c:pt idx="1">
                  <c:v>98.6</c:v>
                </c:pt>
              </c:numCache>
            </c:numRef>
          </c:val>
        </c:ser>
        <c:dLbls>
          <c:showVal val="1"/>
        </c:dLbls>
        <c:overlap val="-25"/>
        <c:axId val="126006400"/>
        <c:axId val="126051840"/>
      </c:barChart>
      <c:catAx>
        <c:axId val="1260064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6051840"/>
        <c:crosses val="autoZero"/>
        <c:auto val="1"/>
        <c:lblAlgn val="ctr"/>
        <c:lblOffset val="100"/>
      </c:catAx>
      <c:valAx>
        <c:axId val="126051840"/>
        <c:scaling>
          <c:orientation val="minMax"/>
        </c:scaling>
        <c:delete val="1"/>
        <c:axPos val="l"/>
        <c:numFmt formatCode="0.0" sourceLinked="1"/>
        <c:tickLblPos val="nextTo"/>
        <c:crossAx val="1260064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6270190301173576E-2"/>
          <c:y val="0.12476851851851853"/>
          <c:w val="0.96745939934287251"/>
          <c:h val="8.7609361329833768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Զուտ միջազգային պահուստներ (ԶՄՊ), ժամանակաշրջանի վերջի դրությամբ, մլն.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1.3976240391334731E-2"/>
          <c:y val="0.15090275027290206"/>
          <c:w val="0.97204751921733068"/>
          <c:h val="0.75431636027576776"/>
        </c:manualLayout>
      </c:layout>
      <c:barChart>
        <c:barDir val="col"/>
        <c:grouping val="clustered"/>
        <c:ser>
          <c:idx val="0"/>
          <c:order val="0"/>
          <c:tx>
            <c:strRef>
              <c:f>Sheet1!$B$139</c:f>
              <c:strCache>
                <c:ptCount val="1"/>
                <c:pt idx="0">
                  <c:v>Զուտ միջազգային պահուստներ (ԶՄՊ), ժամանակաշրջանի վերջի դրությամբ, մլն. դրամ</c:v>
                </c:pt>
              </c:strCache>
            </c:strRef>
          </c:tx>
          <c:dLbls>
            <c:dLbl>
              <c:idx val="0"/>
              <c:layout>
                <c:manualLayout>
                  <c:x val="5.5904961565338921E-3"/>
                  <c:y val="8.1790108548998423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Sheet1!$C$138:$F$138</c:f>
              <c:strCache>
                <c:ptCount val="4"/>
                <c:pt idx="0">
                  <c:v>2014թ. հունվար-հուլիս</c:v>
                </c:pt>
                <c:pt idx="1">
                  <c:v>2015թ. հունվար-հուլիս</c:v>
                </c:pt>
                <c:pt idx="2">
                  <c:v>2016թ. հունվար-հուլիս</c:v>
                </c:pt>
                <c:pt idx="3">
                  <c:v>2017թ. հունվար-հուլիս</c:v>
                </c:pt>
              </c:strCache>
            </c:strRef>
          </c:cat>
          <c:val>
            <c:numRef>
              <c:f>Sheet1!$C$139:$F$139</c:f>
              <c:numCache>
                <c:formatCode>#,##0.0;[Red]#,##0.0</c:formatCode>
                <c:ptCount val="4"/>
                <c:pt idx="0" formatCode="#,##0.0">
                  <c:v>532611</c:v>
                </c:pt>
                <c:pt idx="1">
                  <c:v>474476</c:v>
                </c:pt>
                <c:pt idx="2">
                  <c:v>405476</c:v>
                </c:pt>
                <c:pt idx="3" formatCode="#,##0.0">
                  <c:v>586636</c:v>
                </c:pt>
              </c:numCache>
            </c:numRef>
          </c:val>
        </c:ser>
        <c:dLbls>
          <c:showVal val="1"/>
        </c:dLbls>
        <c:overlap val="-25"/>
        <c:axId val="126073856"/>
        <c:axId val="126075648"/>
      </c:barChart>
      <c:catAx>
        <c:axId val="126073856"/>
        <c:scaling>
          <c:orientation val="minMax"/>
        </c:scaling>
        <c:axPos val="b"/>
        <c:numFmt formatCode="0.00" sourceLinked="1"/>
        <c:majorTickMark val="none"/>
        <c:tickLblPos val="nextTo"/>
        <c:txPr>
          <a:bodyPr rot="0" vert="horz"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6075648"/>
        <c:crosses val="autoZero"/>
        <c:auto val="1"/>
        <c:lblAlgn val="ctr"/>
        <c:lblOffset val="100"/>
      </c:catAx>
      <c:valAx>
        <c:axId val="126075648"/>
        <c:scaling>
          <c:orientation val="minMax"/>
        </c:scaling>
        <c:delete val="1"/>
        <c:axPos val="l"/>
        <c:numFmt formatCode="#,##0.0" sourceLinked="1"/>
        <c:tickLblPos val="nextTo"/>
        <c:crossAx val="12607385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արտաքին առևտրաշրջանառությունը և առևտրի հաշվեկշիռը (մլն ԱՄՆ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2405595216244675"/>
          <c:w val="1"/>
          <c:h val="0.75944047837553275"/>
        </c:manualLayout>
      </c:layout>
      <c:barChart>
        <c:barDir val="col"/>
        <c:grouping val="clustered"/>
        <c:ser>
          <c:idx val="0"/>
          <c:order val="0"/>
          <c:tx>
            <c:strRef>
              <c:f>Sheet1!$C$157</c:f>
              <c:strCache>
                <c:ptCount val="1"/>
                <c:pt idx="0">
                  <c:v>2014թ. հունվար-հուլիս</c:v>
                </c:pt>
              </c:strCache>
            </c:strRef>
          </c:tx>
          <c:dLbls>
            <c:dLbl>
              <c:idx val="0"/>
              <c:layout>
                <c:manualLayout>
                  <c:x val="-5.6555796523822515E-3"/>
                  <c:y val="1.226851628234972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Sheet1!$C$158:$C$159</c:f>
              <c:numCache>
                <c:formatCode>#,##0.0</c:formatCode>
                <c:ptCount val="2"/>
                <c:pt idx="0" formatCode="#,##0.0;[Red]#,##0.0">
                  <c:v>3317.6</c:v>
                </c:pt>
                <c:pt idx="1">
                  <c:v>-1624.4</c:v>
                </c:pt>
              </c:numCache>
            </c:numRef>
          </c:val>
        </c:ser>
        <c:ser>
          <c:idx val="1"/>
          <c:order val="1"/>
          <c:tx>
            <c:strRef>
              <c:f>Sheet1!$D$157</c:f>
              <c:strCache>
                <c:ptCount val="1"/>
                <c:pt idx="0">
                  <c:v>2015թ. հունվար-հուլիս</c:v>
                </c:pt>
              </c:strCache>
            </c:strRef>
          </c:tx>
          <c:dLbls>
            <c:dLbl>
              <c:idx val="0"/>
              <c:layout>
                <c:manualLayout>
                  <c:x val="-5.6555796523822463E-3"/>
                  <c:y val="1.6358021709799681E-2"/>
                </c:manualLayout>
              </c:layout>
              <c:showVal val="1"/>
            </c:dLbl>
            <c:dLbl>
              <c:idx val="1"/>
              <c:layout>
                <c:manualLayout>
                  <c:x val="2.8277898261911236E-3"/>
                  <c:y val="8.1790108548998423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Sheet1!$D$158:$D$159</c:f>
              <c:numCache>
                <c:formatCode>General</c:formatCode>
                <c:ptCount val="2"/>
                <c:pt idx="0" formatCode="#,##0.0;[Red]#,##0.0">
                  <c:v>2600.1</c:v>
                </c:pt>
                <c:pt idx="1">
                  <c:v>-936.2</c:v>
                </c:pt>
              </c:numCache>
            </c:numRef>
          </c:val>
        </c:ser>
        <c:ser>
          <c:idx val="2"/>
          <c:order val="2"/>
          <c:tx>
            <c:strRef>
              <c:f>Sheet1!$E$157</c:f>
              <c:strCache>
                <c:ptCount val="1"/>
                <c:pt idx="0">
                  <c:v>2016թ. հունվար-հուլիս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Sheet1!$E$158:$E$159</c:f>
              <c:numCache>
                <c:formatCode>0.0</c:formatCode>
                <c:ptCount val="2"/>
                <c:pt idx="0" formatCode="#,##0.0;[Red]#,##0.0">
                  <c:v>2657</c:v>
                </c:pt>
                <c:pt idx="1">
                  <c:v>-708.3</c:v>
                </c:pt>
              </c:numCache>
            </c:numRef>
          </c:val>
        </c:ser>
        <c:ser>
          <c:idx val="3"/>
          <c:order val="3"/>
          <c:tx>
            <c:strRef>
              <c:f>Sheet1!$F$157</c:f>
              <c:strCache>
                <c:ptCount val="1"/>
                <c:pt idx="0">
                  <c:v>2017թ. հունվար-հուլիս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226851628234979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Sheet1!$B$158:$B$159</c:f>
              <c:strCache>
                <c:ptCount val="2"/>
                <c:pt idx="0">
                  <c:v>Արտաքին առևտրաշրջանառության ծավալը</c:v>
                </c:pt>
                <c:pt idx="1">
                  <c:v>Առևտրի հաշվեկշիռը</c:v>
                </c:pt>
              </c:strCache>
            </c:strRef>
          </c:cat>
          <c:val>
            <c:numRef>
              <c:f>Sheet1!$F$158:$F$159</c:f>
              <c:numCache>
                <c:formatCode>General</c:formatCode>
                <c:ptCount val="2"/>
                <c:pt idx="0" formatCode="#,##0.0;[Red]#,##0.0">
                  <c:v>3346.8</c:v>
                </c:pt>
                <c:pt idx="1">
                  <c:v>-976.6</c:v>
                </c:pt>
              </c:numCache>
            </c:numRef>
          </c:val>
        </c:ser>
        <c:dLbls>
          <c:showVal val="1"/>
        </c:dLbls>
        <c:overlap val="-25"/>
        <c:axId val="129717376"/>
        <c:axId val="129719296"/>
      </c:barChart>
      <c:catAx>
        <c:axId val="1297173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9719296"/>
        <c:crosses val="autoZero"/>
        <c:auto val="1"/>
        <c:lblAlgn val="ctr"/>
        <c:lblOffset val="100"/>
      </c:catAx>
      <c:valAx>
        <c:axId val="129719296"/>
        <c:scaling>
          <c:orientation val="minMax"/>
        </c:scaling>
        <c:delete val="1"/>
        <c:axPos val="l"/>
        <c:numFmt formatCode="#,##0.0;[Red]#,##0.0" sourceLinked="1"/>
        <c:tickLblPos val="nextTo"/>
        <c:crossAx val="12971737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3369879362478142E-2"/>
          <c:y val="0.13454472856310234"/>
          <c:w val="0.96477687179647054"/>
          <c:h val="8.9656771351565454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արտահանումը և ներմուծումը  (մլն ԱՄՆ դոլար)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23760638067549711"/>
          <c:w val="0.98580131455231101"/>
          <c:h val="0.63922132465229065"/>
        </c:manualLayout>
      </c:layout>
      <c:barChart>
        <c:barDir val="col"/>
        <c:grouping val="clustered"/>
        <c:ser>
          <c:idx val="0"/>
          <c:order val="0"/>
          <c:tx>
            <c:strRef>
              <c:f>Sheet1!$C$178</c:f>
              <c:strCache>
                <c:ptCount val="1"/>
                <c:pt idx="0">
                  <c:v>2014թ. հունվար-հուլիս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8.6601311089297903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Sheet1!$C$179:$C$180</c:f>
              <c:numCache>
                <c:formatCode>#,##0.0;[Red]#,##0.0</c:formatCode>
                <c:ptCount val="2"/>
                <c:pt idx="0" formatCode="0.0">
                  <c:v>846.7</c:v>
                </c:pt>
                <c:pt idx="1">
                  <c:v>2471</c:v>
                </c:pt>
              </c:numCache>
            </c:numRef>
          </c:val>
        </c:ser>
        <c:ser>
          <c:idx val="1"/>
          <c:order val="1"/>
          <c:tx>
            <c:strRef>
              <c:f>Sheet1!$D$178</c:f>
              <c:strCache>
                <c:ptCount val="1"/>
                <c:pt idx="0">
                  <c:v>2015թ. հունվար-հուլիս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Sheet1!$D$179:$D$180</c:f>
              <c:numCache>
                <c:formatCode>#,##0.0;[Red]#,##0.0</c:formatCode>
                <c:ptCount val="2"/>
                <c:pt idx="0" formatCode="0.0">
                  <c:v>832</c:v>
                </c:pt>
                <c:pt idx="1">
                  <c:v>1768.1</c:v>
                </c:pt>
              </c:numCache>
            </c:numRef>
          </c:val>
        </c:ser>
        <c:ser>
          <c:idx val="2"/>
          <c:order val="2"/>
          <c:tx>
            <c:strRef>
              <c:f>Sheet1!$E$178</c:f>
              <c:strCache>
                <c:ptCount val="1"/>
                <c:pt idx="0">
                  <c:v>2016թ. հունվար-հուլիս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Sheet1!$E$179:$E$180</c:f>
              <c:numCache>
                <c:formatCode>#,##0.0;[Red]#,##0.0</c:formatCode>
                <c:ptCount val="2"/>
                <c:pt idx="0" formatCode="General">
                  <c:v>974.3</c:v>
                </c:pt>
                <c:pt idx="1">
                  <c:v>1682.6</c:v>
                </c:pt>
              </c:numCache>
            </c:numRef>
          </c:val>
        </c:ser>
        <c:ser>
          <c:idx val="3"/>
          <c:order val="3"/>
          <c:tx>
            <c:strRef>
              <c:f>Sheet1!$F$178</c:f>
              <c:strCache>
                <c:ptCount val="1"/>
                <c:pt idx="0">
                  <c:v>2017թ. հունվար-հուլիս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Sheet1!$B$179:$B$180</c:f>
              <c:strCache>
                <c:ptCount val="2"/>
                <c:pt idx="0">
                  <c:v>Արտահանում (ՖՕԲ գներով)</c:v>
                </c:pt>
                <c:pt idx="1">
                  <c:v>Ներմուծում (ՍԻՖ գներով)</c:v>
                </c:pt>
              </c:strCache>
            </c:strRef>
          </c:cat>
          <c:val>
            <c:numRef>
              <c:f>Sheet1!$F$179:$F$180</c:f>
              <c:numCache>
                <c:formatCode>#,##0.0;[Red]#,##0.0</c:formatCode>
                <c:ptCount val="2"/>
                <c:pt idx="0" formatCode="#,##0.0">
                  <c:v>1185.0999999999999</c:v>
                </c:pt>
                <c:pt idx="1">
                  <c:v>2161.6999999999998</c:v>
                </c:pt>
              </c:numCache>
            </c:numRef>
          </c:val>
        </c:ser>
        <c:dLbls>
          <c:showVal val="1"/>
        </c:dLbls>
        <c:overlap val="-25"/>
        <c:axId val="132268032"/>
        <c:axId val="132269952"/>
      </c:barChart>
      <c:catAx>
        <c:axId val="13226803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32269952"/>
        <c:crosses val="autoZero"/>
        <c:auto val="1"/>
        <c:lblAlgn val="ctr"/>
        <c:lblOffset val="100"/>
      </c:catAx>
      <c:valAx>
        <c:axId val="132269952"/>
        <c:scaling>
          <c:orientation val="minMax"/>
        </c:scaling>
        <c:delete val="1"/>
        <c:axPos val="l"/>
        <c:numFmt formatCode="0.0" sourceLinked="1"/>
        <c:tickLblPos val="nextTo"/>
        <c:crossAx val="1322680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4153517975871166E-2"/>
          <c:y val="0.1166952666928289"/>
          <c:w val="0.96601326626783635"/>
          <c:h val="0.10792091731927346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7D44-0651-4F41-8708-D6DA9994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FinComm Expert2</dc:creator>
  <cp:lastModifiedBy>User</cp:lastModifiedBy>
  <cp:revision>8</cp:revision>
  <cp:lastPrinted>2017-06-14T06:31:00Z</cp:lastPrinted>
  <dcterms:created xsi:type="dcterms:W3CDTF">2017-08-03T10:33:00Z</dcterms:created>
  <dcterms:modified xsi:type="dcterms:W3CDTF">2017-09-05T08:04:00Z</dcterms:modified>
</cp:coreProperties>
</file>