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  <w:bookmarkStart w:id="0" w:name="_GoBack"/>
      <w:bookmarkEnd w:id="0"/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F162EA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տնտեսությունըբնութագրողհիմնականմակրոտնտեսականցուցանիշներիվերաբերյալ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1B69C2">
        <w:rPr>
          <w:rFonts w:ascii="GHEA Grapalat" w:hAnsi="GHEA Grapalat" w:cs="Sylfaen"/>
          <w:sz w:val="24"/>
          <w:szCs w:val="24"/>
        </w:rPr>
        <w:t>հոկտեմբեր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9C433D" w:rsidRDefault="009C433D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9C433D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712438" cy="2668772"/>
            <wp:effectExtent l="19050" t="0" r="11962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C433D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478522" cy="2668772"/>
            <wp:effectExtent l="19050" t="0" r="17278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060F" w:rsidRDefault="009C433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711641" cy="2636875"/>
            <wp:effectExtent l="19050" t="0" r="12759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87087" cy="2636875"/>
            <wp:effectExtent l="19050" t="0" r="27763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31C8" w:rsidRDefault="009C433D" w:rsidP="00B231C8">
      <w:pPr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01481" cy="2977116"/>
            <wp:effectExtent l="19050" t="0" r="22919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7060F" w:rsidRPr="0007060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2790" cy="2977116"/>
            <wp:effectExtent l="19050" t="0" r="10160" b="0"/>
            <wp:docPr id="3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31C8" w:rsidRDefault="009C433D" w:rsidP="00B231C8">
      <w:pPr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2758" cy="2998382"/>
            <wp:effectExtent l="19050" t="0" r="13542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32630" cy="2998382"/>
            <wp:effectExtent l="19050" t="0" r="20320" b="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31C8" w:rsidRDefault="009C433D" w:rsidP="00B231C8">
      <w:pPr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74215" cy="3051544"/>
            <wp:effectExtent l="19050" t="0" r="16835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8323" cy="3044559"/>
            <wp:effectExtent l="19050" t="0" r="19877" b="3441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2A60" w:rsidRDefault="009C433D" w:rsidP="00102A60">
      <w:pPr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8970" cy="2934586"/>
            <wp:effectExtent l="19050" t="0" r="12080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1488" cy="2934586"/>
            <wp:effectExtent l="19050" t="0" r="14812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7DD6" w:rsidRDefault="009C433D" w:rsidP="00102A60">
      <w:pPr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21052" cy="3147237"/>
            <wp:effectExtent l="19050" t="0" r="12848" b="0"/>
            <wp:docPr id="2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65773" cy="3145332"/>
            <wp:effectExtent l="19050" t="0" r="20527" b="0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6789" w:rsidRDefault="009C433D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18985" cy="2816358"/>
            <wp:effectExtent l="19050" t="0" r="14915" b="3042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9C433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0853" cy="2812547"/>
            <wp:effectExtent l="19050" t="0" r="15447" b="6853"/>
            <wp:docPr id="32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Տեղեկատվությանաղբյուրներենհանդիսացել`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>Հանրապետությանազգայինվիճակագրականծառայությանինտերնետայինկայքիհրապարակումները` ՀՀ սոցիալ-տնտեսականվիճակ</w:t>
      </w:r>
      <w:r w:rsidR="00A81799" w:rsidRPr="007005E7">
        <w:rPr>
          <w:rFonts w:ascii="GHEA Grapalat" w:hAnsi="GHEA Grapalat"/>
          <w:b/>
          <w:sz w:val="16"/>
          <w:szCs w:val="16"/>
        </w:rPr>
        <w:t>իվերաբերյալամս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="00A81799" w:rsidRPr="007005E7">
        <w:rPr>
          <w:rFonts w:ascii="GHEA Grapalat" w:hAnsi="GHEA Grapalat"/>
          <w:b/>
          <w:sz w:val="16"/>
          <w:szCs w:val="16"/>
        </w:rPr>
        <w:t>կանտեղեկագրեր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այաստանիՀանրապետությանԿենտրոնականբանկիինտերնետայինկայքիվիճակագրությանբաժնիհրապարակումները`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ՀՀ բանկերի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միջոցով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ֆիզիկական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անձանց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անունով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արտերկրից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ստացված և ՀՀ–ից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ֆիզիկական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անձանց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կողմից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արտերկիր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իրականացված</w:t>
      </w:r>
      <w:r w:rsidR="0076490C">
        <w:rPr>
          <w:rFonts w:ascii="GHEA Grapalat" w:hAnsi="GHEA Grapalat"/>
          <w:b/>
          <w:sz w:val="16"/>
          <w:szCs w:val="16"/>
        </w:rPr>
        <w:t xml:space="preserve"> </w:t>
      </w:r>
      <w:r w:rsidRPr="007005E7">
        <w:rPr>
          <w:rFonts w:ascii="GHEA Grapalat" w:hAnsi="GHEA Grapalat"/>
          <w:b/>
          <w:sz w:val="16"/>
          <w:szCs w:val="16"/>
        </w:rPr>
        <w:t>փոխանցումներ` ամս</w:t>
      </w:r>
      <w:r w:rsidR="0061302E">
        <w:rPr>
          <w:rFonts w:ascii="GHEA Grapalat" w:hAnsi="GHEA Grapalat"/>
          <w:b/>
          <w:sz w:val="16"/>
          <w:szCs w:val="16"/>
        </w:rPr>
        <w:t>ա</w:t>
      </w:r>
      <w:r w:rsidRPr="007005E7">
        <w:rPr>
          <w:rFonts w:ascii="GHEA Grapalat" w:hAnsi="GHEA Grapalat"/>
          <w:b/>
          <w:sz w:val="16"/>
          <w:szCs w:val="16"/>
        </w:rPr>
        <w:t>կան:</w:t>
      </w:r>
    </w:p>
    <w:sectPr w:rsidR="001E7DD6" w:rsidRPr="007005E7" w:rsidSect="006C6B3A">
      <w:headerReference w:type="default" r:id="rId24"/>
      <w:pgSz w:w="15840" w:h="12240" w:orient="landscape"/>
      <w:pgMar w:top="546" w:right="270" w:bottom="270" w:left="5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C0" w:rsidRDefault="00877BC0" w:rsidP="00AC2D9E">
      <w:pPr>
        <w:spacing w:after="0" w:line="240" w:lineRule="auto"/>
      </w:pPr>
      <w:r>
        <w:separator/>
      </w:r>
    </w:p>
  </w:endnote>
  <w:endnote w:type="continuationSeparator" w:id="1">
    <w:p w:rsidR="00877BC0" w:rsidRDefault="00877BC0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C0" w:rsidRDefault="00877BC0" w:rsidP="00AC2D9E">
      <w:pPr>
        <w:spacing w:after="0" w:line="240" w:lineRule="auto"/>
      </w:pPr>
      <w:r>
        <w:separator/>
      </w:r>
    </w:p>
  </w:footnote>
  <w:footnote w:type="continuationSeparator" w:id="1">
    <w:p w:rsidR="00877BC0" w:rsidRDefault="00877BC0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6C6B3A" w:rsidRDefault="006C6B3A" w:rsidP="006C6B3A">
    <w:pPr>
      <w:pStyle w:val="Header"/>
      <w:jc w:val="right"/>
    </w:pPr>
    <w:r w:rsidRPr="00F44678">
      <w:rPr>
        <w:noProof/>
      </w:rPr>
      <w:drawing>
        <wp:inline distT="0" distB="0" distL="0" distR="0">
          <wp:extent cx="847725" cy="498004"/>
          <wp:effectExtent l="0" t="0" r="0" b="0"/>
          <wp:docPr id="2" name="Picture 2" descr="C:\Users\Budget.office\Desktop\logo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dget.office\Desktop\logo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54" cy="52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2795E"/>
    <w:rsid w:val="000562F4"/>
    <w:rsid w:val="0006054D"/>
    <w:rsid w:val="00064BB9"/>
    <w:rsid w:val="000650B8"/>
    <w:rsid w:val="000675D6"/>
    <w:rsid w:val="0007060F"/>
    <w:rsid w:val="00073E7D"/>
    <w:rsid w:val="0008158C"/>
    <w:rsid w:val="0008501D"/>
    <w:rsid w:val="0009556D"/>
    <w:rsid w:val="000971A6"/>
    <w:rsid w:val="000A31C3"/>
    <w:rsid w:val="000C120D"/>
    <w:rsid w:val="000C1A32"/>
    <w:rsid w:val="000D0BCD"/>
    <w:rsid w:val="00101F08"/>
    <w:rsid w:val="00102816"/>
    <w:rsid w:val="00102A60"/>
    <w:rsid w:val="001052F9"/>
    <w:rsid w:val="00111D23"/>
    <w:rsid w:val="0012000E"/>
    <w:rsid w:val="0012669F"/>
    <w:rsid w:val="00127E87"/>
    <w:rsid w:val="00130E49"/>
    <w:rsid w:val="00135057"/>
    <w:rsid w:val="001476E6"/>
    <w:rsid w:val="00153F6C"/>
    <w:rsid w:val="00160AE9"/>
    <w:rsid w:val="00172A76"/>
    <w:rsid w:val="001753D0"/>
    <w:rsid w:val="001767E4"/>
    <w:rsid w:val="00184797"/>
    <w:rsid w:val="00184E88"/>
    <w:rsid w:val="00194EC9"/>
    <w:rsid w:val="0019787B"/>
    <w:rsid w:val="001B0B81"/>
    <w:rsid w:val="001B69C2"/>
    <w:rsid w:val="001C0EB4"/>
    <w:rsid w:val="001C1675"/>
    <w:rsid w:val="001D2D9A"/>
    <w:rsid w:val="001D6A45"/>
    <w:rsid w:val="001E1C18"/>
    <w:rsid w:val="001E262C"/>
    <w:rsid w:val="001E6473"/>
    <w:rsid w:val="001E7DD6"/>
    <w:rsid w:val="001E7E9A"/>
    <w:rsid w:val="001F0127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9470F"/>
    <w:rsid w:val="00296A6A"/>
    <w:rsid w:val="002A0970"/>
    <w:rsid w:val="002B0BD8"/>
    <w:rsid w:val="002C0B14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0F82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E6ABA"/>
    <w:rsid w:val="003F4D60"/>
    <w:rsid w:val="00405277"/>
    <w:rsid w:val="00406E0A"/>
    <w:rsid w:val="004153E0"/>
    <w:rsid w:val="0042150B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07820"/>
    <w:rsid w:val="00513FFD"/>
    <w:rsid w:val="00521681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302E"/>
    <w:rsid w:val="00615643"/>
    <w:rsid w:val="006204FF"/>
    <w:rsid w:val="00630298"/>
    <w:rsid w:val="006312BF"/>
    <w:rsid w:val="006324C3"/>
    <w:rsid w:val="00632DA9"/>
    <w:rsid w:val="00636546"/>
    <w:rsid w:val="006378AC"/>
    <w:rsid w:val="00640328"/>
    <w:rsid w:val="006438C5"/>
    <w:rsid w:val="0064680E"/>
    <w:rsid w:val="00655DF8"/>
    <w:rsid w:val="00660C01"/>
    <w:rsid w:val="006610FD"/>
    <w:rsid w:val="00672C70"/>
    <w:rsid w:val="00677048"/>
    <w:rsid w:val="00683871"/>
    <w:rsid w:val="006927B1"/>
    <w:rsid w:val="00695021"/>
    <w:rsid w:val="00697E19"/>
    <w:rsid w:val="006A61EA"/>
    <w:rsid w:val="006B5023"/>
    <w:rsid w:val="006B6EF3"/>
    <w:rsid w:val="006C6B3A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366BE"/>
    <w:rsid w:val="00745186"/>
    <w:rsid w:val="007501F7"/>
    <w:rsid w:val="0076490C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7D484C"/>
    <w:rsid w:val="007E1C65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77BC0"/>
    <w:rsid w:val="00881E47"/>
    <w:rsid w:val="008A36E5"/>
    <w:rsid w:val="008A5AC2"/>
    <w:rsid w:val="008B5ACF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642"/>
    <w:rsid w:val="00917ADA"/>
    <w:rsid w:val="009212B0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433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231C8"/>
    <w:rsid w:val="00B425ED"/>
    <w:rsid w:val="00B42D82"/>
    <w:rsid w:val="00B55DF2"/>
    <w:rsid w:val="00B61515"/>
    <w:rsid w:val="00B619F8"/>
    <w:rsid w:val="00B61D27"/>
    <w:rsid w:val="00B63EB8"/>
    <w:rsid w:val="00B83818"/>
    <w:rsid w:val="00B84B20"/>
    <w:rsid w:val="00B85680"/>
    <w:rsid w:val="00B8658A"/>
    <w:rsid w:val="00BA1023"/>
    <w:rsid w:val="00BB238E"/>
    <w:rsid w:val="00BD3858"/>
    <w:rsid w:val="00BD46C8"/>
    <w:rsid w:val="00BD7408"/>
    <w:rsid w:val="00BE1F58"/>
    <w:rsid w:val="00BE2AF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62181"/>
    <w:rsid w:val="00C80E76"/>
    <w:rsid w:val="00C94387"/>
    <w:rsid w:val="00C94D95"/>
    <w:rsid w:val="00CB051C"/>
    <w:rsid w:val="00CB4CA1"/>
    <w:rsid w:val="00CC4DFC"/>
    <w:rsid w:val="00CC543C"/>
    <w:rsid w:val="00CC6383"/>
    <w:rsid w:val="00CD2C49"/>
    <w:rsid w:val="00CE2B51"/>
    <w:rsid w:val="00CE383A"/>
    <w:rsid w:val="00CF0868"/>
    <w:rsid w:val="00CF14B8"/>
    <w:rsid w:val="00CF259D"/>
    <w:rsid w:val="00CF3581"/>
    <w:rsid w:val="00CF405D"/>
    <w:rsid w:val="00CF423E"/>
    <w:rsid w:val="00CF4D61"/>
    <w:rsid w:val="00D0344D"/>
    <w:rsid w:val="00D11848"/>
    <w:rsid w:val="00D11D4F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DD5BA3"/>
    <w:rsid w:val="00DF425E"/>
    <w:rsid w:val="00E0173A"/>
    <w:rsid w:val="00E07AEA"/>
    <w:rsid w:val="00E12B3D"/>
    <w:rsid w:val="00E14906"/>
    <w:rsid w:val="00E20590"/>
    <w:rsid w:val="00E267D1"/>
    <w:rsid w:val="00E305FB"/>
    <w:rsid w:val="00E311F1"/>
    <w:rsid w:val="00E418AB"/>
    <w:rsid w:val="00E45E09"/>
    <w:rsid w:val="00E473FC"/>
    <w:rsid w:val="00E53F47"/>
    <w:rsid w:val="00E572E5"/>
    <w:rsid w:val="00E576E1"/>
    <w:rsid w:val="00E7138C"/>
    <w:rsid w:val="00E7371B"/>
    <w:rsid w:val="00E90F23"/>
    <w:rsid w:val="00E93F7F"/>
    <w:rsid w:val="00EB1283"/>
    <w:rsid w:val="00EB2DE5"/>
    <w:rsid w:val="00EC11CC"/>
    <w:rsid w:val="00ED0F8A"/>
    <w:rsid w:val="00EF75DA"/>
    <w:rsid w:val="00EF7F1B"/>
    <w:rsid w:val="00F057EC"/>
    <w:rsid w:val="00F14217"/>
    <w:rsid w:val="00F162EA"/>
    <w:rsid w:val="00F25BC9"/>
    <w:rsid w:val="00F25E75"/>
    <w:rsid w:val="00F276EA"/>
    <w:rsid w:val="00F336DE"/>
    <w:rsid w:val="00F37C49"/>
    <w:rsid w:val="00F37DA5"/>
    <w:rsid w:val="00F4081C"/>
    <w:rsid w:val="00F40D2C"/>
    <w:rsid w:val="00F51D59"/>
    <w:rsid w:val="00F54A0F"/>
    <w:rsid w:val="00F54CC6"/>
    <w:rsid w:val="00F63873"/>
    <w:rsid w:val="00F63F57"/>
    <w:rsid w:val="00F74366"/>
    <w:rsid w:val="00F779CB"/>
    <w:rsid w:val="00F96C1F"/>
    <w:rsid w:val="00FA1371"/>
    <w:rsid w:val="00FA3C32"/>
    <w:rsid w:val="00FB1434"/>
    <w:rsid w:val="00FD223E"/>
    <w:rsid w:val="00FD35C3"/>
    <w:rsid w:val="00FD6352"/>
    <w:rsid w:val="00FE6288"/>
    <w:rsid w:val="00FE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E"/>
  </w:style>
  <w:style w:type="paragraph" w:styleId="Footer">
    <w:name w:val="footer"/>
    <w:basedOn w:val="Normal"/>
    <w:link w:val="FooterChar"/>
    <w:uiPriority w:val="99"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Oct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8.2507186301443176E-3"/>
                  <c:y val="1.184140121374176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44-4677-AD11-9E55A0674D45}"/>
                </c:ext>
              </c:extLst>
            </c:dLbl>
            <c:dLbl>
              <c:idx val="1"/>
              <c:layout>
                <c:manualLayout>
                  <c:x val="-5.3899913378170714E-3"/>
                  <c:y val="-7.6139887558772323E-2"/>
                </c:manualLayout>
              </c:layout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44-4677-AD11-9E55A0674D45}"/>
                </c:ext>
              </c:extLst>
            </c:dLbl>
            <c:dLbl>
              <c:idx val="2"/>
              <c:layout>
                <c:manualLayout>
                  <c:x val="-5.3899913378170714E-3"/>
                  <c:y val="-9.5174859448465515E-2"/>
                </c:manualLayout>
              </c:layout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44-4677-AD11-9E55A0674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Sheet1!$C$4:$E$4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Sheet1!$C$5:$E$5</c:f>
              <c:numCache>
                <c:formatCode>0.0</c:formatCode>
                <c:ptCount val="3"/>
                <c:pt idx="0" formatCode="General">
                  <c:v>100.5</c:v>
                </c:pt>
                <c:pt idx="1">
                  <c:v>107.1</c:v>
                </c:pt>
                <c:pt idx="2">
                  <c:v>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44-4677-AD11-9E55A0674D45}"/>
            </c:ext>
          </c:extLst>
        </c:ser>
        <c:gapWidth val="75"/>
        <c:overlap val="40"/>
        <c:axId val="93694976"/>
        <c:axId val="93825280"/>
      </c:barChart>
      <c:catAx>
        <c:axId val="93694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825280"/>
        <c:crosses val="autoZero"/>
        <c:auto val="1"/>
        <c:lblAlgn val="ctr"/>
        <c:lblOffset val="100"/>
      </c:catAx>
      <c:valAx>
        <c:axId val="93825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6949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5.4879488747868318E-3"/>
          <c:y val="0.21288731799909288"/>
          <c:w val="0.99451205112521246"/>
          <c:h val="0.66005257247437221"/>
        </c:manualLayout>
      </c:layout>
      <c:barChart>
        <c:barDir val="col"/>
        <c:grouping val="clustered"/>
        <c:ser>
          <c:idx val="1"/>
          <c:order val="0"/>
          <c:tx>
            <c:strRef>
              <c:f>Sheet1!$C$193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Sheet1!$B$194:$B$195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Sheet1!$C$194:$C$195</c:f>
              <c:numCache>
                <c:formatCode>#,##0.0;[Red]#,##0.0</c:formatCode>
                <c:ptCount val="2"/>
                <c:pt idx="0" formatCode="#,##0.0">
                  <c:v>1461.4617000000001</c:v>
                </c:pt>
                <c:pt idx="1">
                  <c:v>2608.6379000000002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1C-4AAD-835D-0085AF0A626D}"/>
            </c:ext>
          </c:extLst>
        </c:ser>
        <c:ser>
          <c:idx val="2"/>
          <c:order val="1"/>
          <c:tx>
            <c:strRef>
              <c:f>Sheet1!$D$193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Sheet1!$B$194:$B$195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Sheet1!$D$194:$D$195</c:f>
              <c:numCache>
                <c:formatCode>#,##0.0;[Red]#,##0.0</c:formatCode>
                <c:ptCount val="2"/>
                <c:pt idx="0">
                  <c:v>1794.0050000000001</c:v>
                </c:pt>
                <c:pt idx="1">
                  <c:v>3194.2130000000002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1C-4AAD-835D-0085AF0A626D}"/>
            </c:ext>
          </c:extLst>
        </c:ser>
        <c:ser>
          <c:idx val="3"/>
          <c:order val="2"/>
          <c:tx>
            <c:strRef>
              <c:f>Sheet1!$E$193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Sheet1!$B$194:$B$195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Sheet1!$E$194:$E$195</c:f>
              <c:numCache>
                <c:formatCode>#,##0.0;[Red]#,##0.0</c:formatCode>
                <c:ptCount val="2"/>
                <c:pt idx="0">
                  <c:v>2003.9899</c:v>
                </c:pt>
                <c:pt idx="1">
                  <c:v>4018.0318000000002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1C-4AAD-835D-0085AF0A626D}"/>
            </c:ext>
          </c:extLst>
        </c:ser>
        <c:dLbls>
          <c:showVal val="1"/>
        </c:dLbls>
        <c:overlap val="-25"/>
        <c:axId val="103373440"/>
        <c:axId val="103408000"/>
      </c:barChart>
      <c:catAx>
        <c:axId val="103373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408000"/>
        <c:crosses val="autoZero"/>
        <c:auto val="1"/>
        <c:lblAlgn val="ctr"/>
        <c:lblOffset val="100"/>
      </c:catAx>
      <c:valAx>
        <c:axId val="103408000"/>
        <c:scaling>
          <c:orientation val="minMax"/>
        </c:scaling>
        <c:delete val="1"/>
        <c:axPos val="l"/>
        <c:numFmt formatCode="#,##0.0" sourceLinked="1"/>
        <c:tickLblPos val="nextTo"/>
        <c:crossAx val="103373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5864726813578099E-3"/>
          <c:y val="0.11796651009226621"/>
          <c:w val="0.99157081301369865"/>
          <c:h val="7.4063928470428766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22528356640425592"/>
          <c:w val="1"/>
          <c:h val="0.66453325954666176"/>
        </c:manualLayout>
      </c:layout>
      <c:barChart>
        <c:barDir val="col"/>
        <c:grouping val="clustered"/>
        <c:ser>
          <c:idx val="0"/>
          <c:order val="0"/>
          <c:tx>
            <c:strRef>
              <c:f>Sheet1!$B$214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Sheet1!$C$213:$E$213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Sheet1!$C$214:$E$214</c:f>
              <c:numCache>
                <c:formatCode>#,##0.0;[Red]#,##0.0</c:formatCode>
                <c:ptCount val="3"/>
                <c:pt idx="0">
                  <c:v>96008</c:v>
                </c:pt>
                <c:pt idx="1">
                  <c:v>88178</c:v>
                </c:pt>
                <c:pt idx="2">
                  <c:v>81718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31-434F-A28D-AE6F33BB8350}"/>
            </c:ext>
          </c:extLst>
        </c:ser>
        <c:ser>
          <c:idx val="1"/>
          <c:order val="1"/>
          <c:tx>
            <c:strRef>
              <c:f>Sheet1!$B$215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Sheet1!$C$213:$E$213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Sheet1!$C$215:$E$215</c:f>
              <c:numCache>
                <c:formatCode>#,##0.0;[Red]#,##0.0</c:formatCode>
                <c:ptCount val="3"/>
                <c:pt idx="0">
                  <c:v>79977</c:v>
                </c:pt>
                <c:pt idx="1">
                  <c:v>73199</c:v>
                </c:pt>
                <c:pt idx="2">
                  <c:v>65998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31-434F-A28D-AE6F33BB8350}"/>
            </c:ext>
          </c:extLst>
        </c:ser>
        <c:dLbls>
          <c:showVal val="1"/>
        </c:dLbls>
        <c:overlap val="-25"/>
        <c:axId val="95495680"/>
        <c:axId val="95497216"/>
      </c:barChart>
      <c:catAx>
        <c:axId val="95495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497216"/>
        <c:crosses val="autoZero"/>
        <c:auto val="1"/>
        <c:lblAlgn val="ctr"/>
        <c:lblOffset val="100"/>
      </c:catAx>
      <c:valAx>
        <c:axId val="95497216"/>
        <c:scaling>
          <c:orientation val="minMax"/>
        </c:scaling>
        <c:delete val="1"/>
        <c:axPos val="l"/>
        <c:numFmt formatCode="#,##0.0;[Red]#,##0.0" sourceLinked="1"/>
        <c:tickLblPos val="nextTo"/>
        <c:crossAx val="95495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5966183986429432E-2"/>
          <c:w val="0.9980382050985267"/>
          <c:h val="0.1834204211428802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 b="1" i="0" baseline="0">
                <a:latin typeface="GHEA Grapalat" pitchFamily="50" charset="0"/>
              </a:rPr>
              <a:t>Միջին ամսական անվանական աշխատավարձը աճողական, դրամ</a:t>
            </a:r>
            <a:endParaRPr lang="en-US" sz="10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8.1558595462516547E-3"/>
          <c:y val="0.16254831175504833"/>
          <c:w val="0.99184414045374869"/>
          <c:h val="0.72726851419586969"/>
        </c:manualLayout>
      </c:layout>
      <c:barChart>
        <c:barDir val="col"/>
        <c:grouping val="clustered"/>
        <c:ser>
          <c:idx val="0"/>
          <c:order val="0"/>
          <c:tx>
            <c:strRef>
              <c:f>Sheet1!$B$234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Sheet1!$C$233:$E$233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Sheet1!$C$234:$E$234</c:f>
              <c:numCache>
                <c:formatCode>#,##0.0;[Red]#,##0.0</c:formatCode>
                <c:ptCount val="3"/>
                <c:pt idx="0">
                  <c:v>185137</c:v>
                </c:pt>
                <c:pt idx="1">
                  <c:v>189972</c:v>
                </c:pt>
                <c:pt idx="2">
                  <c:v>168518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38-406A-9BA3-263B84DC4286}"/>
            </c:ext>
          </c:extLst>
        </c:ser>
        <c:dLbls>
          <c:showVal val="1"/>
        </c:dLbls>
        <c:overlap val="-25"/>
        <c:axId val="95525504"/>
        <c:axId val="95527296"/>
      </c:barChart>
      <c:catAx>
        <c:axId val="95525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527296"/>
        <c:crosses val="autoZero"/>
        <c:auto val="1"/>
        <c:lblAlgn val="ctr"/>
        <c:lblOffset val="100"/>
      </c:catAx>
      <c:valAx>
        <c:axId val="95527296"/>
        <c:scaling>
          <c:orientation val="minMax"/>
        </c:scaling>
        <c:delete val="1"/>
        <c:axPos val="l"/>
        <c:numFmt formatCode="#,##0.0;[Red]#,##0.0" sourceLinked="1"/>
        <c:tickLblPos val="nextTo"/>
        <c:crossAx val="955255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68067925958"/>
          <c:y val="1.3888888888888919E-2"/>
        </c:manualLayout>
      </c:layout>
    </c:title>
    <c:plotArea>
      <c:layout>
        <c:manualLayout>
          <c:layoutTarget val="inner"/>
          <c:xMode val="edge"/>
          <c:yMode val="edge"/>
          <c:x val="0"/>
          <c:y val="0.46024497042961826"/>
          <c:w val="0.9981926772795362"/>
          <c:h val="0.43101901763356237"/>
        </c:manualLayout>
      </c:layout>
      <c:barChart>
        <c:barDir val="col"/>
        <c:grouping val="clustered"/>
        <c:ser>
          <c:idx val="1"/>
          <c:order val="0"/>
          <c:tx>
            <c:strRef>
              <c:f>Sheet1!$C$253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5.6181614367629478E-3"/>
                  <c:y val="1.61411422145837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35-48FD-8C48-C553156EAD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Sheet1!$B$254:$B$256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Sheet1!$C$254:$C$256</c:f>
              <c:numCache>
                <c:formatCode>#,##0.00</c:formatCode>
                <c:ptCount val="3"/>
                <c:pt idx="0">
                  <c:v>1197678.8900000008</c:v>
                </c:pt>
                <c:pt idx="1">
                  <c:v>641138.78999999899</c:v>
                </c:pt>
                <c:pt idx="2">
                  <c:v>556540.1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35-48FD-8C48-C553156EAD4D}"/>
            </c:ext>
          </c:extLst>
        </c:ser>
        <c:ser>
          <c:idx val="2"/>
          <c:order val="1"/>
          <c:tx>
            <c:strRef>
              <c:f>Sheet1!$D$253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1408244755638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35-48FD-8C48-C553156EAD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Sheet1!$B$254:$B$256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Sheet1!$D$254:$D$256</c:f>
              <c:numCache>
                <c:formatCode>#,##0.00</c:formatCode>
                <c:ptCount val="3"/>
                <c:pt idx="0">
                  <c:v>1397721.05</c:v>
                </c:pt>
                <c:pt idx="1">
                  <c:v>779196.16999999946</c:v>
                </c:pt>
                <c:pt idx="2">
                  <c:v>618524.89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35-48FD-8C48-C553156EAD4D}"/>
            </c:ext>
          </c:extLst>
        </c:ser>
        <c:ser>
          <c:idx val="3"/>
          <c:order val="2"/>
          <c:tx>
            <c:strRef>
              <c:f>Sheet1!$E$253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2.5749609123481683E-17"/>
                  <c:y val="1.61411422145837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35-48FD-8C48-C553156EAD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Sheet1!$B$254:$B$256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Sheet1!$E$254:$E$256</c:f>
              <c:numCache>
                <c:formatCode>#,##0.00;[Red]#,##0.00</c:formatCode>
                <c:ptCount val="3"/>
                <c:pt idx="0" formatCode="#,##0.00">
                  <c:v>1456230.2</c:v>
                </c:pt>
                <c:pt idx="1">
                  <c:v>951038.46000000043</c:v>
                </c:pt>
                <c:pt idx="2" formatCode="#,##0.00">
                  <c:v>505191.74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935-48FD-8C48-C553156EAD4D}"/>
            </c:ext>
          </c:extLst>
        </c:ser>
        <c:dLbls>
          <c:showVal val="1"/>
        </c:dLbls>
        <c:overlap val="-25"/>
        <c:axId val="39016704"/>
        <c:axId val="39034880"/>
      </c:barChart>
      <c:catAx>
        <c:axId val="39016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39034880"/>
        <c:crosses val="autoZero"/>
        <c:auto val="1"/>
        <c:lblAlgn val="ctr"/>
        <c:lblOffset val="100"/>
      </c:catAx>
      <c:valAx>
        <c:axId val="39034880"/>
        <c:scaling>
          <c:orientation val="minMax"/>
        </c:scaling>
        <c:delete val="1"/>
        <c:axPos val="l"/>
        <c:numFmt formatCode="#,##0.00" sourceLinked="1"/>
        <c:tickLblPos val="nextTo"/>
        <c:crossAx val="3901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479041139895089"/>
          <c:w val="1"/>
          <c:h val="5.9000005401563339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9941448073020287E-2"/>
          <c:y val="0.47998621449182488"/>
          <c:w val="0.94011710385395908"/>
          <c:h val="0.40515722982502322"/>
        </c:manualLayout>
      </c:layout>
      <c:barChart>
        <c:barDir val="col"/>
        <c:grouping val="clustered"/>
        <c:ser>
          <c:idx val="1"/>
          <c:order val="0"/>
          <c:tx>
            <c:strRef>
              <c:f>Sheet1!$C$274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Sheet1!$B$275:$B$277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Sheet1!$C$275:$C$277</c:f>
              <c:numCache>
                <c:formatCode>#,##0.00</c:formatCode>
                <c:ptCount val="3"/>
                <c:pt idx="0">
                  <c:v>574283.32999999996</c:v>
                </c:pt>
                <c:pt idx="1">
                  <c:v>307903.90000000002</c:v>
                </c:pt>
                <c:pt idx="2">
                  <c:v>266379.43000000028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75-4611-80DC-2637F2D4E9A3}"/>
            </c:ext>
          </c:extLst>
        </c:ser>
        <c:ser>
          <c:idx val="2"/>
          <c:order val="1"/>
          <c:tx>
            <c:strRef>
              <c:f>Sheet1!$D$274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2.7219498248200252E-3"/>
                  <c:y val="1.21131886872356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75-4611-80DC-2637F2D4E9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Sheet1!$B$275:$B$277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Sheet1!$D$275:$D$277</c:f>
              <c:numCache>
                <c:formatCode>#,##0.00</c:formatCode>
                <c:ptCount val="3"/>
                <c:pt idx="0">
                  <c:v>673431.51</c:v>
                </c:pt>
                <c:pt idx="1">
                  <c:v>375673.14999999985</c:v>
                </c:pt>
                <c:pt idx="2">
                  <c:v>297758.36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75-4611-80DC-2637F2D4E9A3}"/>
            </c:ext>
          </c:extLst>
        </c:ser>
        <c:ser>
          <c:idx val="3"/>
          <c:order val="2"/>
          <c:tx>
            <c:strRef>
              <c:f>Sheet1!$E$274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2.7219498248200252E-3"/>
                  <c:y val="1.61509182496474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75-4611-80DC-2637F2D4E9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Sheet1!$B$275:$B$277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Sheet1!$E$275:$E$277</c:f>
              <c:numCache>
                <c:formatCode>#,##0.00;[Red]#,##0.00</c:formatCode>
                <c:ptCount val="3"/>
                <c:pt idx="0">
                  <c:v>702883.26</c:v>
                </c:pt>
                <c:pt idx="1">
                  <c:v>458877.08</c:v>
                </c:pt>
                <c:pt idx="2">
                  <c:v>244006.18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275-4611-80DC-2637F2D4E9A3}"/>
            </c:ext>
          </c:extLst>
        </c:ser>
        <c:dLbls>
          <c:showVal val="1"/>
        </c:dLbls>
        <c:overlap val="-25"/>
        <c:axId val="39057664"/>
        <c:axId val="95567872"/>
      </c:barChart>
      <c:catAx>
        <c:axId val="39057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5567872"/>
        <c:crosses val="autoZero"/>
        <c:auto val="1"/>
        <c:lblAlgn val="ctr"/>
        <c:lblOffset val="100"/>
      </c:catAx>
      <c:valAx>
        <c:axId val="95567872"/>
        <c:scaling>
          <c:orientation val="minMax"/>
        </c:scaling>
        <c:delete val="1"/>
        <c:axPos val="l"/>
        <c:numFmt formatCode="#,##0.00" sourceLinked="1"/>
        <c:tickLblPos val="nextTo"/>
        <c:crossAx val="39057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96090894263433E-3"/>
          <c:y val="0.24495029459529255"/>
          <c:w val="0.99518021986924743"/>
          <c:h val="6.427842911336545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2462350311998722"/>
          <c:w val="1"/>
          <c:h val="0.67537649688001333"/>
        </c:manualLayout>
      </c:layout>
      <c:barChart>
        <c:barDir val="col"/>
        <c:grouping val="clustered"/>
        <c:ser>
          <c:idx val="0"/>
          <c:order val="0"/>
          <c:tx>
            <c:strRef>
              <c:f>Sheet1!$B$297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3.3724387224122229E-2"/>
                  <c:y val="1.35281097076437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4D-477E-A8D4-F449F71977A6}"/>
                </c:ext>
              </c:extLst>
            </c:dLbl>
            <c:dLbl>
              <c:idx val="1"/>
              <c:layout>
                <c:manualLayout>
                  <c:x val="-3.3724387224122229E-2"/>
                  <c:y val="1.35281097076437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4D-477E-A8D4-F449F71977A6}"/>
                </c:ext>
              </c:extLst>
            </c:dLbl>
            <c:dLbl>
              <c:idx val="2"/>
              <c:layout>
                <c:manualLayout>
                  <c:x val="-2.8103656020101848E-2"/>
                  <c:y val="1.80374796101916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4D-477E-A8D4-F449F71977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Sheet1!$C$296:$E$296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Sheet1!$C$297:$E$297</c:f>
              <c:numCache>
                <c:formatCode>#,##0.0;[Red]#,##0.0</c:formatCode>
                <c:ptCount val="3"/>
                <c:pt idx="0">
                  <c:v>941923.2</c:v>
                </c:pt>
                <c:pt idx="1">
                  <c:v>994146</c:v>
                </c:pt>
                <c:pt idx="2">
                  <c:v>1066869.7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4D-477E-A8D4-F449F71977A6}"/>
            </c:ext>
          </c:extLst>
        </c:ser>
        <c:ser>
          <c:idx val="1"/>
          <c:order val="1"/>
          <c:tx>
            <c:strRef>
              <c:f>Sheet1!$B$298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2"/>
              <c:layout>
                <c:manualLayout>
                  <c:x val="5.9017456353583887E-2"/>
                  <c:y val="-2.2547204581235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4D-477E-A8D4-F449F71977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Sheet1!$C$296:$E$296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Sheet1!$C$298:$E$298</c:f>
              <c:numCache>
                <c:formatCode>#,##0.0;[Red]#,##0.0</c:formatCode>
                <c:ptCount val="3"/>
                <c:pt idx="0">
                  <c:v>1132538.1000000001</c:v>
                </c:pt>
                <c:pt idx="1">
                  <c:v>1121154.6000000001</c:v>
                </c:pt>
                <c:pt idx="2">
                  <c:v>1101656.3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4D-477E-A8D4-F449F71977A6}"/>
            </c:ext>
          </c:extLst>
        </c:ser>
        <c:ser>
          <c:idx val="2"/>
          <c:order val="2"/>
          <c:tx>
            <c:strRef>
              <c:f>Sheet1!$B$299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3.0881492193490352E-2"/>
                  <c:y val="0.16498328692588088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4D-477E-A8D4-F449F71977A6}"/>
                </c:ext>
              </c:extLst>
            </c:dLbl>
            <c:dLbl>
              <c:idx val="1"/>
              <c:layout>
                <c:manualLayout>
                  <c:x val="3.3626577649627072E-2"/>
                  <c:y val="0.14339867303801568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4D-477E-A8D4-F449F71977A6}"/>
                </c:ext>
              </c:extLst>
            </c:dLbl>
            <c:dLbl>
              <c:idx val="2"/>
              <c:layout>
                <c:manualLayout>
                  <c:x val="5.2190923404260032E-3"/>
                  <c:y val="0.11634351882821715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4D-477E-A8D4-F449F71977A6}"/>
                </c:ext>
              </c:extLst>
            </c:dLbl>
            <c:dLbl>
              <c:idx val="3"/>
              <c:layout>
                <c:manualLayout>
                  <c:x val="1.1111111111111125E-2"/>
                  <c:y val="0.125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4D-477E-A8D4-F449F71977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Sheet1!$C$296:$E$296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Sheet1!$C$299:$E$299</c:f>
              <c:numCache>
                <c:formatCode>#,##0.0_);\(#,##0.0\)</c:formatCode>
                <c:ptCount val="3"/>
                <c:pt idx="0">
                  <c:v>-190614.9</c:v>
                </c:pt>
                <c:pt idx="1">
                  <c:v>-127008.6</c:v>
                </c:pt>
                <c:pt idx="2">
                  <c:v>-34786.6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4D-477E-A8D4-F449F71977A6}"/>
            </c:ext>
          </c:extLst>
        </c:ser>
        <c:dLbls>
          <c:showVal val="1"/>
        </c:dLbls>
        <c:overlap val="-25"/>
        <c:axId val="95754496"/>
        <c:axId val="95776768"/>
      </c:barChart>
      <c:catAx>
        <c:axId val="95754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5776768"/>
        <c:crosses val="autoZero"/>
        <c:auto val="1"/>
        <c:lblAlgn val="ctr"/>
        <c:lblOffset val="100"/>
      </c:catAx>
      <c:valAx>
        <c:axId val="95776768"/>
        <c:scaling>
          <c:orientation val="minMax"/>
        </c:scaling>
        <c:delete val="1"/>
        <c:axPos val="l"/>
        <c:numFmt formatCode="#,##0.0;[Red]#,##0.0" sourceLinked="1"/>
        <c:tickLblPos val="nextTo"/>
        <c:crossAx val="95754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740941314989093"/>
          <c:w val="1"/>
          <c:h val="9.3593215067118582E-2"/>
        </c:manualLayout>
      </c:layout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587046863574198E-4"/>
          <c:y val="0.23921242923758021"/>
          <c:w val="0.99901325554324449"/>
          <c:h val="0.76078757076241987"/>
        </c:manualLayout>
      </c:layout>
      <c:barChart>
        <c:barDir val="col"/>
        <c:grouping val="stacked"/>
        <c:ser>
          <c:idx val="0"/>
          <c:order val="0"/>
          <c:tx>
            <c:strRef>
              <c:f>Sheet1!$B$319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Sheet1!$C$318:$E$318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Sheet1!$C$319:$E$319</c:f>
              <c:numCache>
                <c:formatCode>#,##0.0;[Red]#,##0.0</c:formatCode>
                <c:ptCount val="3"/>
                <c:pt idx="0">
                  <c:v>177808.7</c:v>
                </c:pt>
                <c:pt idx="1">
                  <c:v>135332.6</c:v>
                </c:pt>
                <c:pt idx="2" formatCode="#,##0.0_);\(#,##0.0\)">
                  <c:v>74790.7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AA-4ED1-8C36-93544F78F27E}"/>
            </c:ext>
          </c:extLst>
        </c:ser>
        <c:ser>
          <c:idx val="1"/>
          <c:order val="1"/>
          <c:tx>
            <c:strRef>
              <c:f>Sheet1!$B$320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8.3332873263111066E-3"/>
                  <c:y val="-3.5294050750279804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AA-4ED1-8C36-93544F78F27E}"/>
                </c:ext>
              </c:extLst>
            </c:dLbl>
            <c:dLbl>
              <c:idx val="2"/>
              <c:layout>
                <c:manualLayout>
                  <c:x val="0"/>
                  <c:y val="2.708065236651851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AA-4ED1-8C36-93544F78F2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Sheet1!$C$318:$E$318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Sheet1!$C$320:$E$320</c:f>
              <c:numCache>
                <c:formatCode>#,##0.0_);\(#,##0.0\)</c:formatCode>
                <c:ptCount val="3"/>
                <c:pt idx="0">
                  <c:v>12806.2</c:v>
                </c:pt>
                <c:pt idx="1">
                  <c:v>-8324</c:v>
                </c:pt>
                <c:pt idx="2">
                  <c:v>-40004.1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AA-4ED1-8C36-93544F78F27E}"/>
            </c:ext>
          </c:extLst>
        </c:ser>
        <c:dLbls>
          <c:showVal val="1"/>
        </c:dLbls>
        <c:gapWidth val="95"/>
        <c:overlap val="100"/>
        <c:axId val="95802496"/>
        <c:axId val="95804032"/>
      </c:barChart>
      <c:catAx>
        <c:axId val="95802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5804032"/>
        <c:crosses val="autoZero"/>
        <c:auto val="1"/>
        <c:lblAlgn val="ctr"/>
        <c:lblOffset val="100"/>
      </c:catAx>
      <c:valAx>
        <c:axId val="95804032"/>
        <c:scaling>
          <c:orientation val="minMax"/>
        </c:scaling>
        <c:delete val="1"/>
        <c:axPos val="l"/>
        <c:numFmt formatCode="#,##0.0;[Red]#,##0.0" sourceLinked="1"/>
        <c:tickLblPos val="nextTo"/>
        <c:crossAx val="95802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537606120166087"/>
          <c:w val="0.99488729939291842"/>
          <c:h val="6.5740593649125031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>
              <a:latin typeface="GHEA Grapalat" pitchFamily="50" charset="0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Sheet1!$B$20</c:f>
              <c:strCache>
                <c:ptCount val="1"/>
                <c:pt idx="0">
                  <c:v>III եռամսյակի արտադրական եղանակով ՀՆԱ-ի նախնական տվյալները (համախառն, շուկայական գներով, մլն դրամ)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Sheet1!$C$19:$E$19</c:f>
              <c:strCache>
                <c:ptCount val="3"/>
                <c:pt idx="0">
                  <c:v>2016թ. III եռամսյակ</c:v>
                </c:pt>
                <c:pt idx="1">
                  <c:v>2017թ. III եռամսյակ</c:v>
                </c:pt>
                <c:pt idx="2">
                  <c:v>2018թ. III եռամսյակ</c:v>
                </c:pt>
              </c:strCache>
            </c:strRef>
          </c:cat>
          <c:val>
            <c:numRef>
              <c:f>Sheet1!$C$20:$E$20</c:f>
              <c:numCache>
                <c:formatCode>_(* #,##0.0_);_(* \(#,##0.0\);_(* "-"??_);_(@_)</c:formatCode>
                <c:ptCount val="3"/>
                <c:pt idx="0">
                  <c:v>1518338.5</c:v>
                </c:pt>
                <c:pt idx="1">
                  <c:v>1583508.8</c:v>
                </c:pt>
                <c:pt idx="2">
                  <c:v>1676535.3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30-4641-9935-530B05A96C34}"/>
            </c:ext>
          </c:extLst>
        </c:ser>
        <c:dLbls>
          <c:showVal val="1"/>
        </c:dLbls>
        <c:overlap val="-25"/>
        <c:axId val="98911360"/>
        <c:axId val="99062912"/>
      </c:barChart>
      <c:catAx>
        <c:axId val="989113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="1">
                <a:latin typeface="GHEA Grapalat" pitchFamily="50" charset="0"/>
              </a:defRPr>
            </a:pPr>
            <a:endParaRPr lang="en-US"/>
          </a:p>
        </c:txPr>
        <c:crossAx val="99062912"/>
        <c:crosses val="autoZero"/>
        <c:auto val="1"/>
        <c:lblAlgn val="ctr"/>
        <c:lblOffset val="100"/>
      </c:catAx>
      <c:valAx>
        <c:axId val="99062912"/>
        <c:scaling>
          <c:orientation val="minMax"/>
        </c:scaling>
        <c:delete val="1"/>
        <c:axPos val="l"/>
        <c:numFmt formatCode="_(* #,##0.0_);_(* \(#,##0.0\);_(* &quot;-&quot;??_);_(@_)" sourceLinked="1"/>
        <c:tickLblPos val="nextTo"/>
        <c:crossAx val="989113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164583076558431"/>
          <c:w val="1"/>
          <c:h val="0.5086778857549179"/>
        </c:manualLayout>
      </c:layout>
      <c:barChart>
        <c:barDir val="col"/>
        <c:grouping val="clustered"/>
        <c:ser>
          <c:idx val="1"/>
          <c:order val="0"/>
          <c:tx>
            <c:strRef>
              <c:f>Sheet1!$C$41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2.6954515422546012E-3"/>
                  <c:y val="0.3275088883621715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B5-405D-B8D2-5F4A7472B873}"/>
                </c:ext>
              </c:extLst>
            </c:dLbl>
            <c:dLbl>
              <c:idx val="1"/>
              <c:layout>
                <c:manualLayout>
                  <c:x val="-5.3909030845092024E-3"/>
                  <c:y val="4.816307181796639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B5-405D-B8D2-5F4A7472B8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Sheet1!$B$42:$B$44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Sheet1!$C$42:$C$44</c:f>
              <c:numCache>
                <c:formatCode>#,##0.0;[Red]#,##0.0</c:formatCode>
                <c:ptCount val="3"/>
                <c:pt idx="0">
                  <c:v>1152223.3</c:v>
                </c:pt>
                <c:pt idx="1">
                  <c:v>757277.5</c:v>
                </c:pt>
                <c:pt idx="2">
                  <c:v>275636.09999999998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B5-405D-B8D2-5F4A7472B873}"/>
            </c:ext>
          </c:extLst>
        </c:ser>
        <c:ser>
          <c:idx val="2"/>
          <c:order val="1"/>
          <c:tx>
            <c:strRef>
              <c:f>Sheet1!$D$41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2.6954515422546012E-3"/>
                  <c:y val="0.356406352216164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B5-405D-B8D2-5F4A7472B873}"/>
                </c:ext>
              </c:extLst>
            </c:dLbl>
            <c:dLbl>
              <c:idx val="1"/>
              <c:layout>
                <c:manualLayout>
                  <c:x val="2.6954515422546012E-3"/>
                  <c:y val="1.926522872718654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B5-405D-B8D2-5F4A7472B8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Sheet1!$B$42:$B$44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Sheet1!$D$42:$D$44</c:f>
              <c:numCache>
                <c:formatCode>#,##0.0;[Red]#,##0.0</c:formatCode>
                <c:ptCount val="3"/>
                <c:pt idx="0">
                  <c:v>1338330.6000000001</c:v>
                </c:pt>
                <c:pt idx="1">
                  <c:v>756587.3</c:v>
                </c:pt>
                <c:pt idx="2">
                  <c:v>274811.40000000002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B5-405D-B8D2-5F4A7472B873}"/>
            </c:ext>
          </c:extLst>
        </c:ser>
        <c:ser>
          <c:idx val="3"/>
          <c:order val="2"/>
          <c:tx>
            <c:strRef>
              <c:f>Sheet1!$E$41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7085565299834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B5-405D-B8D2-5F4A7472B873}"/>
                </c:ext>
              </c:extLst>
            </c:dLbl>
            <c:dLbl>
              <c:idx val="1"/>
              <c:layout>
                <c:manualLayout>
                  <c:x val="2.6954515422546012E-3"/>
                  <c:y val="4.815927945010668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B5-405D-B8D2-5F4A7472B873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Sheet1!$B$42:$B$44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Sheet1!$E$42:$E$44</c:f>
              <c:numCache>
                <c:formatCode>#,##0.0;[Red]#,##0.0</c:formatCode>
                <c:ptCount val="3"/>
                <c:pt idx="0">
                  <c:v>1408750.8</c:v>
                </c:pt>
                <c:pt idx="1">
                  <c:v>719664.7</c:v>
                </c:pt>
                <c:pt idx="2">
                  <c:v>288754.3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B5-405D-B8D2-5F4A7472B873}"/>
            </c:ext>
          </c:extLst>
        </c:ser>
        <c:dLbls>
          <c:showVal val="1"/>
        </c:dLbls>
        <c:overlap val="-25"/>
        <c:axId val="99326208"/>
        <c:axId val="99350400"/>
      </c:barChart>
      <c:catAx>
        <c:axId val="993262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9350400"/>
        <c:crosses val="autoZero"/>
        <c:auto val="1"/>
        <c:lblAlgn val="ctr"/>
        <c:lblOffset val="100"/>
      </c:catAx>
      <c:valAx>
        <c:axId val="99350400"/>
        <c:scaling>
          <c:orientation val="minMax"/>
        </c:scaling>
        <c:delete val="1"/>
        <c:axPos val="l"/>
        <c:numFmt formatCode="#,##0.0;[Red]#,##0.0" sourceLinked="1"/>
        <c:tickLblPos val="nextTo"/>
        <c:crossAx val="9932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5214471985451876E-4"/>
          <c:y val="0.2063787627399857"/>
          <c:w val="0.99020914369324831"/>
          <c:h val="0.1047800900687366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8303440517199701E-3"/>
          <c:y val="0.30494581654420488"/>
          <c:w val="0.99716965594828"/>
          <c:h val="0.57243100260725288"/>
        </c:manualLayout>
      </c:layout>
      <c:barChart>
        <c:barDir val="col"/>
        <c:grouping val="clustered"/>
        <c:ser>
          <c:idx val="1"/>
          <c:order val="0"/>
          <c:tx>
            <c:strRef>
              <c:f>Sheet1!$C$63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2.5473096465479753E-2"/>
                  <c:y val="2.4081535908983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E4-4700-A669-C2B11F1A09ED}"/>
                </c:ext>
              </c:extLst>
            </c:dLbl>
            <c:dLbl>
              <c:idx val="1"/>
              <c:layout>
                <c:manualLayout>
                  <c:x val="-3.9624816724079602E-2"/>
                  <c:y val="2.40815359089831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E4-4700-A669-C2B11F1A09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Sheet1!$B$64:$B$65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Sheet1!$C$64:$C$65</c:f>
              <c:numCache>
                <c:formatCode>#,##0.0;[Red]#,##0.0</c:formatCode>
                <c:ptCount val="2"/>
                <c:pt idx="0">
                  <c:v>1753834.1</c:v>
                </c:pt>
                <c:pt idx="1">
                  <c:v>1033768.3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E4-4700-A669-C2B11F1A09ED}"/>
            </c:ext>
          </c:extLst>
        </c:ser>
        <c:ser>
          <c:idx val="2"/>
          <c:order val="1"/>
          <c:tx>
            <c:strRef>
              <c:f>Sheet1!$D$63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1.9812408362039794E-2"/>
                  <c:y val="4.816307181796683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E4-4700-A669-C2B11F1A09ED}"/>
                </c:ext>
              </c:extLst>
            </c:dLbl>
            <c:dLbl>
              <c:idx val="1"/>
              <c:layout>
                <c:manualLayout>
                  <c:x val="-5.6606881034399394E-3"/>
                  <c:y val="9.6326143635932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E4-4700-A669-C2B11F1A09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Sheet1!$B$64:$B$65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Sheet1!$D$64:$D$65</c:f>
              <c:numCache>
                <c:formatCode>#,##0.0;[Red]#,##0.0</c:formatCode>
                <c:ptCount val="2"/>
                <c:pt idx="0">
                  <c:v>2030433</c:v>
                </c:pt>
                <c:pt idx="1">
                  <c:v>1182167.6000000001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E4-4700-A669-C2B11F1A09ED}"/>
            </c:ext>
          </c:extLst>
        </c:ser>
        <c:ser>
          <c:idx val="3"/>
          <c:order val="2"/>
          <c:tx>
            <c:strRef>
              <c:f>Sheet1!$E$63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2.8303440517199701E-3"/>
                  <c:y val="-9.6326143635932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E4-4700-A669-C2B11F1A09ED}"/>
                </c:ext>
              </c:extLst>
            </c:dLbl>
            <c:dLbl>
              <c:idx val="1"/>
              <c:layout>
                <c:manualLayout>
                  <c:x val="4.5285504827519502E-2"/>
                  <c:y val="1.44489215453899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E4-4700-A669-C2B11F1A09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Sheet1!$B$64:$B$65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Sheet1!$E$64:$E$65</c:f>
              <c:numCache>
                <c:formatCode>#,##0.0;[Red]#,##0.0</c:formatCode>
                <c:ptCount val="2"/>
                <c:pt idx="0">
                  <c:v>2308797.7000000002</c:v>
                </c:pt>
                <c:pt idx="1">
                  <c:v>1426759.5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E4-4700-A669-C2B11F1A09ED}"/>
            </c:ext>
          </c:extLst>
        </c:ser>
        <c:dLbls>
          <c:showVal val="1"/>
        </c:dLbls>
        <c:overlap val="-25"/>
        <c:axId val="99515392"/>
        <c:axId val="99528064"/>
      </c:barChart>
      <c:catAx>
        <c:axId val="99515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9528064"/>
        <c:crosses val="autoZero"/>
        <c:auto val="1"/>
        <c:lblAlgn val="ctr"/>
        <c:lblOffset val="100"/>
      </c:catAx>
      <c:valAx>
        <c:axId val="99528064"/>
        <c:scaling>
          <c:orientation val="minMax"/>
        </c:scaling>
        <c:delete val="1"/>
        <c:axPos val="l"/>
        <c:numFmt formatCode="#,##0.0;[Red]#,##0.0" sourceLinked="1"/>
        <c:tickLblPos val="nextTo"/>
        <c:crossAx val="99515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6353206434374973E-3"/>
          <c:y val="0.18090049774828174"/>
          <c:w val="0.99272913585138867"/>
          <c:h val="7.483327802796874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901462368673452"/>
          <c:w val="1"/>
          <c:h val="0.52777391162949694"/>
        </c:manualLayout>
      </c:layout>
      <c:barChart>
        <c:barDir val="col"/>
        <c:grouping val="clustered"/>
        <c:ser>
          <c:idx val="1"/>
          <c:order val="0"/>
          <c:tx>
            <c:strRef>
              <c:f>Sheet1!$C$86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-8.1016409331474346E-3"/>
                  <c:y val="2.1876274680571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44-4664-BC68-E1638687D8C4}"/>
                </c:ext>
              </c:extLst>
            </c:dLbl>
            <c:dLbl>
              <c:idx val="1"/>
              <c:layout>
                <c:manualLayout>
                  <c:x val="-2.7005469777157615E-3"/>
                  <c:y val="8.750509872228747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44-4664-BC68-E1638687D8C4}"/>
                </c:ext>
              </c:extLst>
            </c:dLbl>
            <c:dLbl>
              <c:idx val="2"/>
              <c:layout>
                <c:manualLayout>
                  <c:x val="0"/>
                  <c:y val="2.1876274680571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44-4664-BC68-E1638687D8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Sheet1!$B$87:$B$89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Sheet1!$C$87:$C$89</c:f>
              <c:numCache>
                <c:formatCode>General</c:formatCode>
                <c:ptCount val="3"/>
                <c:pt idx="0" formatCode="0.0">
                  <c:v>106.5</c:v>
                </c:pt>
                <c:pt idx="1">
                  <c:v>92.7</c:v>
                </c:pt>
                <c:pt idx="2">
                  <c:v>90.2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44-4664-BC68-E1638687D8C4}"/>
            </c:ext>
          </c:extLst>
        </c:ser>
        <c:ser>
          <c:idx val="2"/>
          <c:order val="1"/>
          <c:tx>
            <c:strRef>
              <c:f>Sheet1!$D$86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2.7005469777158092E-3"/>
                  <c:y val="2.6251529616686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44-4664-BC68-E1638687D8C4}"/>
                </c:ext>
              </c:extLst>
            </c:dLbl>
            <c:dLbl>
              <c:idx val="1"/>
              <c:layout>
                <c:manualLayout>
                  <c:x val="0"/>
                  <c:y val="2.1876274680571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44-4664-BC68-E1638687D8C4}"/>
                </c:ext>
              </c:extLst>
            </c:dLbl>
            <c:dLbl>
              <c:idx val="2"/>
              <c:layout>
                <c:manualLayout>
                  <c:x val="-2.7005469777158092E-3"/>
                  <c:y val="1.75010197444575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44-4664-BC68-E1638687D8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Sheet1!$B$87:$B$89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Sheet1!$D$87:$D$89</c:f>
              <c:numCache>
                <c:formatCode>0.0</c:formatCode>
                <c:ptCount val="3"/>
                <c:pt idx="0">
                  <c:v>112.4</c:v>
                </c:pt>
                <c:pt idx="1">
                  <c:v>96</c:v>
                </c:pt>
                <c:pt idx="2">
                  <c:v>99.2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E44-4664-BC68-E1638687D8C4}"/>
            </c:ext>
          </c:extLst>
        </c:ser>
        <c:ser>
          <c:idx val="3"/>
          <c:order val="2"/>
          <c:tx>
            <c:strRef>
              <c:f>Sheet1!$E$86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1876274680571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44-4664-BC68-E1638687D8C4}"/>
                </c:ext>
              </c:extLst>
            </c:dLbl>
            <c:dLbl>
              <c:idx val="1"/>
              <c:layout>
                <c:manualLayout>
                  <c:x val="0"/>
                  <c:y val="4.37525493611435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44-4664-BC68-E1638687D8C4}"/>
                </c:ext>
              </c:extLst>
            </c:dLbl>
            <c:dLbl>
              <c:idx val="2"/>
              <c:layout>
                <c:manualLayout>
                  <c:x val="2.70054697771580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44-4664-BC68-E1638687D8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Sheet1!$B$87:$B$89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Sheet1!$E$87:$E$89</c:f>
              <c:numCache>
                <c:formatCode>0.0</c:formatCode>
                <c:ptCount val="3"/>
                <c:pt idx="0">
                  <c:v>104.5</c:v>
                </c:pt>
                <c:pt idx="1">
                  <c:v>91.9</c:v>
                </c:pt>
                <c:pt idx="2">
                  <c:v>106.5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E44-4664-BC68-E1638687D8C4}"/>
            </c:ext>
          </c:extLst>
        </c:ser>
        <c:dLbls>
          <c:showVal val="1"/>
        </c:dLbls>
        <c:overlap val="-25"/>
        <c:axId val="99698176"/>
        <c:axId val="99699712"/>
      </c:barChart>
      <c:catAx>
        <c:axId val="99698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9699712"/>
        <c:crosses val="autoZero"/>
        <c:auto val="1"/>
        <c:lblAlgn val="ctr"/>
        <c:lblOffset val="100"/>
      </c:catAx>
      <c:valAx>
        <c:axId val="99699712"/>
        <c:scaling>
          <c:orientation val="minMax"/>
        </c:scaling>
        <c:delete val="1"/>
        <c:axPos val="l"/>
        <c:numFmt formatCode="0.0" sourceLinked="1"/>
        <c:tickLblPos val="nextTo"/>
        <c:crossAx val="99698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183559514491396"/>
          <c:w val="0.99208101811046345"/>
          <c:h val="7.3308602233516026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2.7956388034665941E-3"/>
          <c:y val="0.2750599745101896"/>
          <c:w val="0.99720436119653311"/>
          <c:h val="0.61395259911283351"/>
        </c:manualLayout>
      </c:layout>
      <c:barChart>
        <c:barDir val="col"/>
        <c:grouping val="clustered"/>
        <c:ser>
          <c:idx val="1"/>
          <c:order val="0"/>
          <c:tx>
            <c:strRef>
              <c:f>Sheet1!$C$110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Sheet1!$B$111:$B$112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Sheet1!$C$111:$C$112</c:f>
              <c:numCache>
                <c:formatCode>0.0</c:formatCode>
                <c:ptCount val="2"/>
                <c:pt idx="0" formatCode="General">
                  <c:v>99.9</c:v>
                </c:pt>
                <c:pt idx="1">
                  <c:v>107.7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03-401F-A90A-88D804DFEE17}"/>
            </c:ext>
          </c:extLst>
        </c:ser>
        <c:ser>
          <c:idx val="2"/>
          <c:order val="1"/>
          <c:tx>
            <c:strRef>
              <c:f>Sheet1!$D$110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Sheet1!$B$111:$B$112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Sheet1!$D$111:$D$112</c:f>
              <c:numCache>
                <c:formatCode>0.0</c:formatCode>
                <c:ptCount val="2"/>
                <c:pt idx="0" formatCode="General">
                  <c:v>113.6</c:v>
                </c:pt>
                <c:pt idx="1">
                  <c:v>113.9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03-401F-A90A-88D804DFEE17}"/>
            </c:ext>
          </c:extLst>
        </c:ser>
        <c:ser>
          <c:idx val="3"/>
          <c:order val="2"/>
          <c:tx>
            <c:strRef>
              <c:f>Sheet1!$E$110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Sheet1!$B$111:$B$112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Sheet1!$E$111:$E$112</c:f>
              <c:numCache>
                <c:formatCode>General</c:formatCode>
                <c:ptCount val="2"/>
                <c:pt idx="0">
                  <c:v>109.6</c:v>
                </c:pt>
                <c:pt idx="1">
                  <c:v>118.5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03-401F-A90A-88D804DFEE17}"/>
            </c:ext>
          </c:extLst>
        </c:ser>
        <c:dLbls>
          <c:showVal val="1"/>
        </c:dLbls>
        <c:overlap val="-25"/>
        <c:axId val="103163392"/>
        <c:axId val="103164928"/>
      </c:barChart>
      <c:catAx>
        <c:axId val="103163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164928"/>
        <c:crosses val="autoZero"/>
        <c:auto val="1"/>
        <c:lblAlgn val="ctr"/>
        <c:lblOffset val="100"/>
      </c:catAx>
      <c:valAx>
        <c:axId val="103164928"/>
        <c:scaling>
          <c:orientation val="minMax"/>
        </c:scaling>
        <c:delete val="1"/>
        <c:axPos val="l"/>
        <c:numFmt formatCode="General" sourceLinked="1"/>
        <c:tickLblPos val="nextTo"/>
        <c:crossAx val="103163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4193835832028129"/>
          <c:w val="0.9889433585968096"/>
          <c:h val="8.9528754297930141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0253656805570472"/>
          <c:w val="1"/>
          <c:h val="0.63615009695228963"/>
        </c:manualLayout>
      </c:layout>
      <c:barChart>
        <c:barDir val="col"/>
        <c:grouping val="clustered"/>
        <c:ser>
          <c:idx val="1"/>
          <c:order val="0"/>
          <c:tx>
            <c:strRef>
              <c:f>Sheet1!$C$131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Sheet1!$B$132:$B$133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Sheet1!$C$132:$C$133</c:f>
              <c:numCache>
                <c:formatCode>General</c:formatCode>
                <c:ptCount val="2"/>
                <c:pt idx="0">
                  <c:v>98.5</c:v>
                </c:pt>
                <c:pt idx="1">
                  <c:v>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CE-4AE6-8AB7-048E9C665D05}"/>
            </c:ext>
          </c:extLst>
        </c:ser>
        <c:ser>
          <c:idx val="2"/>
          <c:order val="1"/>
          <c:tx>
            <c:strRef>
              <c:f>Sheet1!$D$131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Sheet1!$B$132:$B$133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Sheet1!$D$132:$D$133</c:f>
              <c:numCache>
                <c:formatCode>General</c:formatCode>
                <c:ptCount val="2"/>
                <c:pt idx="0">
                  <c:v>100.7</c:v>
                </c:pt>
                <c:pt idx="1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CE-4AE6-8AB7-048E9C665D05}"/>
            </c:ext>
          </c:extLst>
        </c:ser>
        <c:ser>
          <c:idx val="3"/>
          <c:order val="2"/>
          <c:tx>
            <c:strRef>
              <c:f>Sheet1!$E$131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Sheet1!$B$132:$B$133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Sheet1!$E$132:$E$133</c:f>
              <c:numCache>
                <c:formatCode>General</c:formatCode>
                <c:ptCount val="2"/>
                <c:pt idx="0">
                  <c:v>102.7</c:v>
                </c:pt>
                <c:pt idx="1">
                  <c:v>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CE-4AE6-8AB7-048E9C665D05}"/>
            </c:ext>
          </c:extLst>
        </c:ser>
        <c:dLbls>
          <c:showVal val="1"/>
        </c:dLbls>
        <c:overlap val="-25"/>
        <c:axId val="103216640"/>
        <c:axId val="103218176"/>
      </c:barChart>
      <c:catAx>
        <c:axId val="103216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218176"/>
        <c:crosses val="autoZero"/>
        <c:auto val="1"/>
        <c:lblAlgn val="ctr"/>
        <c:lblOffset val="100"/>
      </c:catAx>
      <c:valAx>
        <c:axId val="103218176"/>
        <c:scaling>
          <c:orientation val="minMax"/>
        </c:scaling>
        <c:delete val="1"/>
        <c:axPos val="l"/>
        <c:numFmt formatCode="General" sourceLinked="1"/>
        <c:tickLblPos val="nextTo"/>
        <c:crossAx val="103216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8684395810782E-2"/>
          <c:y val="0.11978326977683305"/>
          <c:w val="0.98589783592473668"/>
          <c:h val="8.2753298278871748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207621182404041E-2"/>
          <c:y val="0.17179665566295421"/>
          <c:w val="0.98879237881759596"/>
          <c:h val="0.69871350615098404"/>
        </c:manualLayout>
      </c:layout>
      <c:barChart>
        <c:barDir val="col"/>
        <c:grouping val="clustered"/>
        <c:ser>
          <c:idx val="0"/>
          <c:order val="0"/>
          <c:tx>
            <c:strRef>
              <c:f>Sheet1!$B$154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Sheet1!$C$153:$E$153</c:f>
              <c:strCache>
                <c:ptCount val="3"/>
                <c:pt idx="0">
                  <c:v>2016թ. հունվար-հոկտեմբեր</c:v>
                </c:pt>
                <c:pt idx="1">
                  <c:v>2017թ. հունվար-հոկտեմբեր</c:v>
                </c:pt>
                <c:pt idx="2">
                  <c:v>2018թ. հունվար-հոկտեմբեր</c:v>
                </c:pt>
              </c:strCache>
            </c:strRef>
          </c:cat>
          <c:val>
            <c:numRef>
              <c:f>Sheet1!$C$154:$E$154</c:f>
              <c:numCache>
                <c:formatCode>#,##0.0;[Red]#,##0.0</c:formatCode>
                <c:ptCount val="3"/>
                <c:pt idx="0">
                  <c:v>515592</c:v>
                </c:pt>
                <c:pt idx="1">
                  <c:v>579677</c:v>
                </c:pt>
                <c:pt idx="2">
                  <c:v>596183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21-4AE4-A27C-83427A1E95E3}"/>
            </c:ext>
          </c:extLst>
        </c:ser>
        <c:dLbls>
          <c:showVal val="1"/>
        </c:dLbls>
        <c:overlap val="-25"/>
        <c:axId val="103230464"/>
        <c:axId val="103252736"/>
      </c:barChart>
      <c:catAx>
        <c:axId val="1032304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252736"/>
        <c:crosses val="autoZero"/>
        <c:auto val="1"/>
        <c:lblAlgn val="ctr"/>
        <c:lblOffset val="100"/>
      </c:catAx>
      <c:valAx>
        <c:axId val="103252736"/>
        <c:scaling>
          <c:orientation val="minMax"/>
        </c:scaling>
        <c:delete val="1"/>
        <c:axPos val="l"/>
        <c:numFmt formatCode="#,##0.0;[Red]#,##0.0" sourceLinked="1"/>
        <c:tickLblPos val="nextTo"/>
        <c:crossAx val="1032304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413758412134972"/>
          <c:w val="1"/>
          <c:h val="0.75399437137396674"/>
        </c:manualLayout>
      </c:layout>
      <c:barChart>
        <c:barDir val="col"/>
        <c:grouping val="clustered"/>
        <c:ser>
          <c:idx val="1"/>
          <c:order val="0"/>
          <c:tx>
            <c:strRef>
              <c:f>Sheet1!$C$172</c:f>
              <c:strCache>
                <c:ptCount val="1"/>
                <c:pt idx="0">
                  <c:v>2016թ.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Sheet1!$B$173:$B$174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Sheet1!$C$173:$C$174</c:f>
              <c:numCache>
                <c:formatCode>#,##0.0</c:formatCode>
                <c:ptCount val="2"/>
                <c:pt idx="0" formatCode="#,##0.0;[Red]#,##0.0">
                  <c:v>4070.0994999999998</c:v>
                </c:pt>
                <c:pt idx="1">
                  <c:v>-1147.1761999999999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F3-4A38-BC39-186A9B4C741F}"/>
            </c:ext>
          </c:extLst>
        </c:ser>
        <c:ser>
          <c:idx val="2"/>
          <c:order val="1"/>
          <c:tx>
            <c:strRef>
              <c:f>Sheet1!$D$172</c:f>
              <c:strCache>
                <c:ptCount val="1"/>
                <c:pt idx="0">
                  <c:v>2017թ.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Sheet1!$B$173:$B$174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Sheet1!$D$173:$D$174</c:f>
              <c:numCache>
                <c:formatCode>#,##0.0</c:formatCode>
                <c:ptCount val="2"/>
                <c:pt idx="0" formatCode="#,##0.0;[Red]#,##0.0">
                  <c:v>4988.2181</c:v>
                </c:pt>
                <c:pt idx="1">
                  <c:v>-1400.2080000000001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F3-4A38-BC39-186A9B4C741F}"/>
            </c:ext>
          </c:extLst>
        </c:ser>
        <c:ser>
          <c:idx val="3"/>
          <c:order val="2"/>
          <c:tx>
            <c:strRef>
              <c:f>Sheet1!$E$172</c:f>
              <c:strCache>
                <c:ptCount val="1"/>
                <c:pt idx="0">
                  <c:v>2018թ. հունվար-հոկտեմբեր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Sheet1!$B$173:$B$174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Sheet1!$E$173:$E$174</c:f>
              <c:numCache>
                <c:formatCode>#,##0.0</c:formatCode>
                <c:ptCount val="2"/>
                <c:pt idx="0" formatCode="#,##0.0;[Red]#,##0.0">
                  <c:v>6022.0217000000002</c:v>
                </c:pt>
                <c:pt idx="1">
                  <c:v>-2014.0418999999999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3-4A38-BC39-186A9B4C741F}"/>
            </c:ext>
          </c:extLst>
        </c:ser>
        <c:dLbls>
          <c:showVal val="1"/>
        </c:dLbls>
        <c:overlap val="-25"/>
        <c:axId val="103291520"/>
        <c:axId val="103305600"/>
      </c:barChart>
      <c:catAx>
        <c:axId val="103291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3305600"/>
        <c:crosses val="autoZero"/>
        <c:auto val="1"/>
        <c:lblAlgn val="ctr"/>
        <c:lblOffset val="100"/>
      </c:catAx>
      <c:valAx>
        <c:axId val="103305600"/>
        <c:scaling>
          <c:orientation val="minMax"/>
        </c:scaling>
        <c:delete val="1"/>
        <c:axPos val="l"/>
        <c:numFmt formatCode="#,##0.0;[Red]#,##0.0" sourceLinked="1"/>
        <c:tickLblPos val="nextTo"/>
        <c:crossAx val="103291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6157397321382233"/>
          <c:w val="0.99846399874076686"/>
          <c:h val="7.525567384904176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946E-D0EC-40D1-A8DB-D00DD002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23</cp:revision>
  <cp:lastPrinted>2017-06-14T06:31:00Z</cp:lastPrinted>
  <dcterms:created xsi:type="dcterms:W3CDTF">2018-06-12T11:55:00Z</dcterms:created>
  <dcterms:modified xsi:type="dcterms:W3CDTF">2018-12-13T06:03:00Z</dcterms:modified>
</cp:coreProperties>
</file>