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8636F3">
        <w:rPr>
          <w:rFonts w:ascii="GHEA Grapalat" w:hAnsi="GHEA Grapalat" w:cs="Sylfaen"/>
          <w:sz w:val="24"/>
          <w:szCs w:val="24"/>
        </w:rPr>
        <w:t>5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8636F3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CC543C">
        <w:rPr>
          <w:rFonts w:ascii="GHEA Grapalat" w:hAnsi="GHEA Grapalat" w:cs="Sylfaen"/>
          <w:sz w:val="24"/>
          <w:szCs w:val="24"/>
        </w:rPr>
        <w:t>-</w:t>
      </w:r>
      <w:r w:rsidR="00DA4DD6">
        <w:rPr>
          <w:rFonts w:ascii="GHEA Grapalat" w:hAnsi="GHEA Grapalat" w:cs="Sylfaen"/>
          <w:sz w:val="24"/>
          <w:szCs w:val="24"/>
        </w:rPr>
        <w:t>ապրիլ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127E87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127E87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27E87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127E87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27E8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27E8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1E1C1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E1C18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572000" cy="2695575"/>
            <wp:effectExtent l="19050" t="0" r="19050" b="0"/>
            <wp:docPr id="1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1E1C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2695575"/>
            <wp:effectExtent l="19050" t="0" r="9525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1E1C1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E1C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72000" cy="3086100"/>
            <wp:effectExtent l="19050" t="0" r="19050" b="0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1E1C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3086100"/>
            <wp:effectExtent l="19050" t="0" r="9525" b="0"/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1E1C1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E1C18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610100" cy="2895600"/>
            <wp:effectExtent l="19050" t="0" r="19050" b="0"/>
            <wp:docPr id="17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1E1C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14850" cy="2895600"/>
            <wp:effectExtent l="19050" t="0" r="19050" b="0"/>
            <wp:docPr id="18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1E1C18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1E1C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124200" cy="3162300"/>
            <wp:effectExtent l="19050" t="0" r="19050" b="0"/>
            <wp:docPr id="19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1E1C1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57525" cy="3162300"/>
            <wp:effectExtent l="19050" t="0" r="9525" b="0"/>
            <wp:docPr id="2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870673" w:rsidRPr="0087067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57525" cy="3162300"/>
            <wp:effectExtent l="19050" t="0" r="9525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870673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870673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76800" cy="3048000"/>
            <wp:effectExtent l="19050" t="0" r="19050" b="0"/>
            <wp:docPr id="27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Pr="0087067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229100" cy="3048000"/>
            <wp:effectExtent l="19050" t="0" r="19050" b="0"/>
            <wp:docPr id="28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Pr="007005E7" w:rsidRDefault="009C6789" w:rsidP="00013691">
      <w:pPr>
        <w:ind w:left="-360" w:firstLine="360"/>
        <w:rPr>
          <w:rFonts w:ascii="GHEA Grapalat" w:hAnsi="GHEA Grapalat"/>
          <w:b/>
          <w:sz w:val="16"/>
          <w:szCs w:val="16"/>
        </w:rPr>
      </w:pPr>
    </w:p>
    <w:p w:rsidR="00013691" w:rsidRPr="007005E7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/>
          <w:b/>
          <w:sz w:val="16"/>
          <w:szCs w:val="16"/>
        </w:rPr>
        <w:t>Տեղեկատվության աղբյուրներ են հանդիսացել`</w:t>
      </w:r>
    </w:p>
    <w:p w:rsidR="001C1675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Հայաստանի</w:t>
      </w:r>
      <w:r w:rsidRPr="007005E7">
        <w:rPr>
          <w:rFonts w:ascii="GHEA Grapalat" w:hAnsi="GHEA Grapalat"/>
          <w:b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</w:t>
      </w:r>
      <w:r w:rsidR="00A81799" w:rsidRPr="007005E7">
        <w:rPr>
          <w:rFonts w:ascii="GHEA Grapalat" w:hAnsi="GHEA Grapalat"/>
          <w:b/>
          <w:sz w:val="16"/>
          <w:szCs w:val="16"/>
        </w:rPr>
        <w:t>ի վերաբերյալ ամսեկան տեղեկագրեր</w:t>
      </w:r>
    </w:p>
    <w:p w:rsidR="001E7DD6" w:rsidRPr="007005E7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16"/>
          <w:szCs w:val="16"/>
        </w:rPr>
      </w:pPr>
      <w:r w:rsidRPr="007005E7">
        <w:rPr>
          <w:rFonts w:ascii="GHEA Grapalat" w:hAnsi="GHEA Grapalat" w:cs="Sylfaen"/>
          <w:b/>
          <w:sz w:val="16"/>
          <w:szCs w:val="16"/>
        </w:rPr>
        <w:t>Հ</w:t>
      </w:r>
      <w:r w:rsidRPr="007005E7">
        <w:rPr>
          <w:rFonts w:ascii="GHEA Grapalat" w:hAnsi="GHEA Grapalat"/>
          <w:b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7005E7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2F" w:rsidRDefault="0027432F" w:rsidP="00AC2D9E">
      <w:pPr>
        <w:spacing w:after="0" w:line="240" w:lineRule="auto"/>
      </w:pPr>
      <w:r>
        <w:separator/>
      </w:r>
    </w:p>
  </w:endnote>
  <w:endnote w:type="continuationSeparator" w:id="1">
    <w:p w:rsidR="0027432F" w:rsidRDefault="0027432F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2F" w:rsidRDefault="0027432F" w:rsidP="00AC2D9E">
      <w:pPr>
        <w:spacing w:after="0" w:line="240" w:lineRule="auto"/>
      </w:pPr>
      <w:r>
        <w:separator/>
      </w:r>
    </w:p>
  </w:footnote>
  <w:footnote w:type="continuationSeparator" w:id="1">
    <w:p w:rsidR="0027432F" w:rsidRDefault="0027432F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 xml:space="preserve">Պատրաստված է </w:t>
    </w:r>
    <w:r w:rsidR="00111D23">
      <w:rPr>
        <w:rFonts w:ascii="GHEA Grapalat" w:hAnsi="GHEA Grapalat"/>
      </w:rPr>
      <w:t>ԱԺ</w:t>
    </w:r>
    <w:r w:rsidRPr="00A40DCD">
      <w:rPr>
        <w:rFonts w:ascii="GHEA Grapalat" w:hAnsi="GHEA Grapalat"/>
      </w:rPr>
      <w:t xml:space="preserve">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73E7D"/>
    <w:rsid w:val="0008158C"/>
    <w:rsid w:val="0008501D"/>
    <w:rsid w:val="0009556D"/>
    <w:rsid w:val="000971A6"/>
    <w:rsid w:val="000A31C3"/>
    <w:rsid w:val="000C120D"/>
    <w:rsid w:val="000C1A32"/>
    <w:rsid w:val="00101F08"/>
    <w:rsid w:val="00102816"/>
    <w:rsid w:val="001052F9"/>
    <w:rsid w:val="00111D23"/>
    <w:rsid w:val="0012000E"/>
    <w:rsid w:val="00127E87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1675"/>
    <w:rsid w:val="001D2D9A"/>
    <w:rsid w:val="001D6A45"/>
    <w:rsid w:val="001E1C18"/>
    <w:rsid w:val="001E262C"/>
    <w:rsid w:val="001E6473"/>
    <w:rsid w:val="001E7DD6"/>
    <w:rsid w:val="001E7E9A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424D3"/>
    <w:rsid w:val="0025031E"/>
    <w:rsid w:val="00250649"/>
    <w:rsid w:val="00253363"/>
    <w:rsid w:val="002601CF"/>
    <w:rsid w:val="00261BD4"/>
    <w:rsid w:val="00262AB4"/>
    <w:rsid w:val="00270CA5"/>
    <w:rsid w:val="0027432F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5F90"/>
    <w:rsid w:val="003670A8"/>
    <w:rsid w:val="0039437C"/>
    <w:rsid w:val="003A58E5"/>
    <w:rsid w:val="003A5EBA"/>
    <w:rsid w:val="003B0CBA"/>
    <w:rsid w:val="003B1050"/>
    <w:rsid w:val="003C7B39"/>
    <w:rsid w:val="003D38B7"/>
    <w:rsid w:val="003D4335"/>
    <w:rsid w:val="003D5370"/>
    <w:rsid w:val="003D555C"/>
    <w:rsid w:val="003F4D60"/>
    <w:rsid w:val="00405277"/>
    <w:rsid w:val="00406E0A"/>
    <w:rsid w:val="00440E2C"/>
    <w:rsid w:val="00440FAF"/>
    <w:rsid w:val="004542E2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072C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1E88"/>
    <w:rsid w:val="0058205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05E7"/>
    <w:rsid w:val="00705CF9"/>
    <w:rsid w:val="007061B2"/>
    <w:rsid w:val="00707C0F"/>
    <w:rsid w:val="00721ACE"/>
    <w:rsid w:val="00734466"/>
    <w:rsid w:val="00735A39"/>
    <w:rsid w:val="00745186"/>
    <w:rsid w:val="00767623"/>
    <w:rsid w:val="0079129C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36F3"/>
    <w:rsid w:val="00867138"/>
    <w:rsid w:val="00870673"/>
    <w:rsid w:val="00871E73"/>
    <w:rsid w:val="00881E47"/>
    <w:rsid w:val="008A36E5"/>
    <w:rsid w:val="008A5AC2"/>
    <w:rsid w:val="008C11DD"/>
    <w:rsid w:val="008C2FD5"/>
    <w:rsid w:val="008C5278"/>
    <w:rsid w:val="008C65E6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45DC7"/>
    <w:rsid w:val="00A81799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56062"/>
    <w:rsid w:val="00C80E76"/>
    <w:rsid w:val="00C94387"/>
    <w:rsid w:val="00C94D95"/>
    <w:rsid w:val="00CB051C"/>
    <w:rsid w:val="00CC4DFC"/>
    <w:rsid w:val="00CC543C"/>
    <w:rsid w:val="00CC6383"/>
    <w:rsid w:val="00CD2C49"/>
    <w:rsid w:val="00CE2B51"/>
    <w:rsid w:val="00CF0868"/>
    <w:rsid w:val="00CF14B8"/>
    <w:rsid w:val="00CF259D"/>
    <w:rsid w:val="00CF3581"/>
    <w:rsid w:val="00CF423E"/>
    <w:rsid w:val="00CF4D61"/>
    <w:rsid w:val="00D14A9F"/>
    <w:rsid w:val="00D221F8"/>
    <w:rsid w:val="00D34BAE"/>
    <w:rsid w:val="00D37045"/>
    <w:rsid w:val="00D50656"/>
    <w:rsid w:val="00D53C3D"/>
    <w:rsid w:val="00D56C49"/>
    <w:rsid w:val="00D6193B"/>
    <w:rsid w:val="00D67B14"/>
    <w:rsid w:val="00D8356A"/>
    <w:rsid w:val="00D83A0C"/>
    <w:rsid w:val="00DA4DD6"/>
    <w:rsid w:val="00DB08F9"/>
    <w:rsid w:val="00DB46EB"/>
    <w:rsid w:val="00DC4FC1"/>
    <w:rsid w:val="00DC51AA"/>
    <w:rsid w:val="00DC5454"/>
    <w:rsid w:val="00DD1BED"/>
    <w:rsid w:val="00E0173A"/>
    <w:rsid w:val="00E07AEA"/>
    <w:rsid w:val="00E12B3D"/>
    <w:rsid w:val="00E267D1"/>
    <w:rsid w:val="00E305FB"/>
    <w:rsid w:val="00E311F1"/>
    <w:rsid w:val="00E45E09"/>
    <w:rsid w:val="00E473FC"/>
    <w:rsid w:val="00E572E5"/>
    <w:rsid w:val="00E576E1"/>
    <w:rsid w:val="00E7138C"/>
    <w:rsid w:val="00E7371B"/>
    <w:rsid w:val="00E90F23"/>
    <w:rsid w:val="00EB1283"/>
    <w:rsid w:val="00EC11CC"/>
    <w:rsid w:val="00ED0F8A"/>
    <w:rsid w:val="00EF7F1B"/>
    <w:rsid w:val="00F057EC"/>
    <w:rsid w:val="00F14217"/>
    <w:rsid w:val="00F25BC9"/>
    <w:rsid w:val="00F276EA"/>
    <w:rsid w:val="00F336DE"/>
    <w:rsid w:val="00F37DA5"/>
    <w:rsid w:val="00F4081C"/>
    <w:rsid w:val="00F40D2C"/>
    <w:rsid w:val="00F51D59"/>
    <w:rsid w:val="00F54A0F"/>
    <w:rsid w:val="00F63873"/>
    <w:rsid w:val="00F63F57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anApril2018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2.7777777777777822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7777777777778325E-3"/>
                  <c:y val="-7.4074074074074042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6.4814814814814867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1.0185067526416019E-16"/>
                  <c:y val="-7.4074074074074084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 formatCode="0.0">
                  <c:v>103</c:v>
                </c:pt>
                <c:pt idx="1">
                  <c:v>106.2</c:v>
                </c:pt>
                <c:pt idx="2" formatCode="0.0">
                  <c:v>103.4</c:v>
                </c:pt>
                <c:pt idx="3">
                  <c:v>107.3</c:v>
                </c:pt>
              </c:numCache>
            </c:numRef>
          </c:val>
        </c:ser>
        <c:gapWidth val="75"/>
        <c:overlap val="40"/>
        <c:axId val="62621568"/>
        <c:axId val="62623104"/>
      </c:barChart>
      <c:catAx>
        <c:axId val="6262156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2623104"/>
        <c:crosses val="autoZero"/>
        <c:auto val="1"/>
        <c:lblAlgn val="ctr"/>
        <c:lblOffset val="100"/>
      </c:catAx>
      <c:valAx>
        <c:axId val="6262310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26215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81590</c:v>
                </c:pt>
                <c:pt idx="1">
                  <c:v>94830</c:v>
                </c:pt>
                <c:pt idx="2">
                  <c:v>95418</c:v>
                </c:pt>
                <c:pt idx="3">
                  <c:v>82590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8.4388185654008432E-3"/>
                  <c:y val="8.771929824561403E-3"/>
                </c:manualLayout>
              </c:layout>
              <c:showVal val="1"/>
            </c:dLbl>
            <c:dLbl>
              <c:idx val="1"/>
              <c:layout>
                <c:manualLayout>
                  <c:x val="8.4388185654008432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4388185654008432E-3"/>
                  <c:y val="1.315789473684211E-2"/>
                </c:manualLayout>
              </c:layout>
              <c:showVal val="1"/>
            </c:dLbl>
            <c:dLbl>
              <c:idx val="3"/>
              <c:layout>
                <c:manualLayout>
                  <c:x val="1.687763713080179E-2"/>
                  <c:y val="1.31578947368421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73602</c:v>
                </c:pt>
                <c:pt idx="1">
                  <c:v>81008</c:v>
                </c:pt>
                <c:pt idx="2">
                  <c:v>80213</c:v>
                </c:pt>
                <c:pt idx="3">
                  <c:v>68633</c:v>
                </c:pt>
              </c:numCache>
            </c:numRef>
          </c:val>
        </c:ser>
        <c:dLbls>
          <c:showVal val="1"/>
        </c:dLbls>
        <c:overlap val="-25"/>
        <c:axId val="106486400"/>
        <c:axId val="106549632"/>
      </c:barChart>
      <c:catAx>
        <c:axId val="10648640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6549632"/>
        <c:crosses val="autoZero"/>
        <c:auto val="1"/>
        <c:lblAlgn val="ctr"/>
        <c:lblOffset val="100"/>
      </c:catAx>
      <c:valAx>
        <c:axId val="106549632"/>
        <c:scaling>
          <c:orientation val="minMax"/>
        </c:scaling>
        <c:delete val="1"/>
        <c:axPos val="l"/>
        <c:numFmt formatCode="#,##0.0;[Red]#,##0.0" sourceLinked="1"/>
        <c:tickLblPos val="nextTo"/>
        <c:crossAx val="1064864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7494268912588474E-2"/>
          <c:y val="2.6315789473684216E-2"/>
          <c:w val="0.93345005924892299"/>
          <c:h val="0.2341355850255559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Sheet1!$C$219:$F$219</c:f>
              <c:numCache>
                <c:formatCode>#,##0.0;[Red]#,##0.0</c:formatCode>
                <c:ptCount val="4"/>
                <c:pt idx="0">
                  <c:v>181927</c:v>
                </c:pt>
                <c:pt idx="1">
                  <c:v>187241</c:v>
                </c:pt>
                <c:pt idx="2">
                  <c:v>193364</c:v>
                </c:pt>
                <c:pt idx="3">
                  <c:v>163496</c:v>
                </c:pt>
              </c:numCache>
            </c:numRef>
          </c:val>
        </c:ser>
        <c:dLbls>
          <c:showVal val="1"/>
        </c:dLbls>
        <c:overlap val="-25"/>
        <c:axId val="108605440"/>
        <c:axId val="108606976"/>
      </c:barChart>
      <c:catAx>
        <c:axId val="10860544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8606976"/>
        <c:crosses val="autoZero"/>
        <c:auto val="1"/>
        <c:lblAlgn val="ctr"/>
        <c:lblOffset val="100"/>
      </c:catAx>
      <c:valAx>
        <c:axId val="108606976"/>
        <c:scaling>
          <c:orientation val="minMax"/>
        </c:scaling>
        <c:delete val="1"/>
        <c:axPos val="l"/>
        <c:numFmt formatCode="#,##0.0;[Red]#,##0.0" sourceLinked="1"/>
        <c:tickLblPos val="nextTo"/>
        <c:crossAx val="1086054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47673982613"/>
          <c:y val="1.3888888888888911E-2"/>
        </c:manualLayout>
      </c:layout>
    </c:title>
    <c:plotArea>
      <c:layout>
        <c:manualLayout>
          <c:layoutTarget val="inner"/>
          <c:xMode val="edge"/>
          <c:yMode val="edge"/>
          <c:x val="4.4444444444444502E-2"/>
          <c:y val="0.46831547098279414"/>
          <c:w val="0.91111111111111109"/>
          <c:h val="0.39066601049868782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#,##0.00</c:formatCode>
                <c:ptCount val="3"/>
                <c:pt idx="0">
                  <c:v>387555.72600000002</c:v>
                </c:pt>
                <c:pt idx="1">
                  <c:v>225106.56</c:v>
                </c:pt>
                <c:pt idx="2">
                  <c:v>162449.17000000001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#,##0.00;[Red]#,##0.00</c:formatCode>
                <c:ptCount val="3"/>
                <c:pt idx="0" formatCode="#,##0.00">
                  <c:v>377691.97300000017</c:v>
                </c:pt>
                <c:pt idx="1">
                  <c:v>246432.47999999998</c:v>
                </c:pt>
                <c:pt idx="2">
                  <c:v>131259.56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#,##0.00;[Red]#,##0.00</c:formatCode>
                <c:ptCount val="3"/>
                <c:pt idx="0" formatCode="#,##0.00">
                  <c:v>422246.2310000002</c:v>
                </c:pt>
                <c:pt idx="1">
                  <c:v>269782</c:v>
                </c:pt>
                <c:pt idx="2">
                  <c:v>152463.91999999998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#,##0.00;[Red]#,##0.00</c:formatCode>
                <c:ptCount val="3"/>
                <c:pt idx="0" formatCode="#,##0.000">
                  <c:v>483694.18</c:v>
                </c:pt>
                <c:pt idx="1">
                  <c:v>367143.40299999999</c:v>
                </c:pt>
                <c:pt idx="2" formatCode="#,##0.00">
                  <c:v>116551.148</c:v>
                </c:pt>
              </c:numCache>
            </c:numRef>
          </c:val>
        </c:ser>
        <c:dLbls>
          <c:showVal val="1"/>
        </c:dLbls>
        <c:overlap val="-25"/>
        <c:axId val="108901120"/>
        <c:axId val="108902656"/>
      </c:barChart>
      <c:catAx>
        <c:axId val="108901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8902656"/>
        <c:crosses val="autoZero"/>
        <c:auto val="1"/>
        <c:lblAlgn val="ctr"/>
        <c:lblOffset val="100"/>
      </c:catAx>
      <c:valAx>
        <c:axId val="108902656"/>
        <c:scaling>
          <c:orientation val="minMax"/>
        </c:scaling>
        <c:delete val="1"/>
        <c:axPos val="l"/>
        <c:numFmt formatCode="#,##0.00" sourceLinked="1"/>
        <c:tickLblPos val="nextTo"/>
        <c:crossAx val="108901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793220124592877"/>
          <c:w val="1"/>
          <c:h val="7.1547923979382089E-2"/>
        </c:manualLayout>
      </c:layout>
      <c:txPr>
        <a:bodyPr/>
        <a:lstStyle/>
        <a:p>
          <a:pPr>
            <a:defRPr sz="71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1.6614745586708203E-2"/>
          <c:y val="0.36846346013977194"/>
          <c:w val="0.98338525441329183"/>
          <c:h val="0.52883913607184663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4.1536863966770508E-3"/>
                  <c:y val="8.0321285140562675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#,##0.00</c:formatCode>
                <c:ptCount val="3"/>
                <c:pt idx="0">
                  <c:v>184640.38999999993</c:v>
                </c:pt>
                <c:pt idx="1">
                  <c:v>107298.64</c:v>
                </c:pt>
                <c:pt idx="2">
                  <c:v>77341.739999999991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04819277108433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#,##0.00;[Red]#,##0.00</c:formatCode>
                <c:ptCount val="3"/>
                <c:pt idx="0">
                  <c:v>183888.62</c:v>
                </c:pt>
                <c:pt idx="1">
                  <c:v>119987.23999999999</c:v>
                </c:pt>
                <c:pt idx="2">
                  <c:v>63901.380000000012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04819277108433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#,##0.00;[Red]#,##0.00</c:formatCode>
                <c:ptCount val="3"/>
                <c:pt idx="0">
                  <c:v>205025.75</c:v>
                </c:pt>
                <c:pt idx="1">
                  <c:v>131010.39</c:v>
                </c:pt>
                <c:pt idx="2">
                  <c:v>74015.360000000001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008032128514057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#,##0.00;[Red]#,##0.00</c:formatCode>
                <c:ptCount val="3"/>
                <c:pt idx="0">
                  <c:v>232744.43</c:v>
                </c:pt>
                <c:pt idx="1">
                  <c:v>176703.04</c:v>
                </c:pt>
                <c:pt idx="2">
                  <c:v>56041.39</c:v>
                </c:pt>
              </c:numCache>
            </c:numRef>
          </c:val>
        </c:ser>
        <c:dLbls>
          <c:showVal val="1"/>
        </c:dLbls>
        <c:overlap val="-25"/>
        <c:axId val="83314560"/>
        <c:axId val="83316096"/>
      </c:barChart>
      <c:catAx>
        <c:axId val="83314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3316096"/>
        <c:crosses val="autoZero"/>
        <c:auto val="1"/>
        <c:lblAlgn val="ctr"/>
        <c:lblOffset val="100"/>
      </c:catAx>
      <c:valAx>
        <c:axId val="83316096"/>
        <c:scaling>
          <c:orientation val="minMax"/>
        </c:scaling>
        <c:delete val="1"/>
        <c:axPos val="l"/>
        <c:numFmt formatCode="#,##0.00" sourceLinked="1"/>
        <c:tickLblPos val="nextTo"/>
        <c:crossAx val="83314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442778989975653"/>
          <c:w val="0.9702416169941378"/>
          <c:h val="8.155582961768347E-2"/>
        </c:manualLayout>
      </c:layout>
      <c:txPr>
        <a:bodyPr/>
        <a:lstStyle/>
        <a:p>
          <a:pPr>
            <a:defRPr sz="68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4023031496062994"/>
          <c:w val="0.97135416666666652"/>
          <c:h val="0.61393635170603666"/>
        </c:manualLayout>
      </c:layout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2"/>
              <c:layout>
                <c:manualLayout>
                  <c:x val="-5.2083333333333391E-3"/>
                  <c:y val="1.6666666666666677E-2"/>
                </c:manualLayout>
              </c:layout>
              <c:showVal val="1"/>
            </c:dLbl>
            <c:dLbl>
              <c:idx val="3"/>
              <c:layout>
                <c:manualLayout>
                  <c:x val="-1.5625000000000101E-2"/>
                  <c:y val="-1.666666666666667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Sheet1!$C$282:$F$282</c:f>
              <c:numCache>
                <c:formatCode>#,##0.0;[Red]#,##0.0</c:formatCode>
                <c:ptCount val="4"/>
                <c:pt idx="0">
                  <c:v>344070.9</c:v>
                </c:pt>
                <c:pt idx="1">
                  <c:v>352150.1</c:v>
                </c:pt>
                <c:pt idx="2">
                  <c:v>383236.8</c:v>
                </c:pt>
                <c:pt idx="3">
                  <c:v>386449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2"/>
              <c:layout>
                <c:manualLayout>
                  <c:x val="7.8125E-3"/>
                  <c:y val="-1.2500000000000001E-2"/>
                </c:manualLayout>
              </c:layout>
              <c:showVal val="1"/>
            </c:dLbl>
            <c:dLbl>
              <c:idx val="3"/>
              <c:layout>
                <c:manualLayout>
                  <c:x val="3.3854166666666671E-2"/>
                  <c:y val="1.25000000000000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Sheet1!$C$283:$F$283</c:f>
              <c:numCache>
                <c:formatCode>#,##0.0;[Red]#,##0.0</c:formatCode>
                <c:ptCount val="4"/>
                <c:pt idx="0">
                  <c:v>384931.8</c:v>
                </c:pt>
                <c:pt idx="1">
                  <c:v>411534.9</c:v>
                </c:pt>
                <c:pt idx="2">
                  <c:v>394664.8</c:v>
                </c:pt>
                <c:pt idx="3">
                  <c:v>377480.2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1.8402846128608923E-2"/>
                  <c:y val="0.1268523622047243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3958333333333328E-2"/>
                  <c:y val="0.1388891076115485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9444512795275603E-2"/>
                  <c:y val="8.88891076115485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8.507012795275588E-3"/>
                  <c:y val="1.250000000000000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Sheet1!$C$284:$F$284</c:f>
              <c:numCache>
                <c:formatCode>#,##0.0_);\(#,##0.0\)</c:formatCode>
                <c:ptCount val="4"/>
                <c:pt idx="0">
                  <c:v>-40860.9</c:v>
                </c:pt>
                <c:pt idx="1">
                  <c:v>-59384.800000000003</c:v>
                </c:pt>
                <c:pt idx="2">
                  <c:v>-11428</c:v>
                </c:pt>
                <c:pt idx="3">
                  <c:v>8968.7999999999938</c:v>
                </c:pt>
              </c:numCache>
            </c:numRef>
          </c:val>
        </c:ser>
        <c:dLbls>
          <c:showVal val="1"/>
        </c:dLbls>
        <c:overlap val="-25"/>
        <c:axId val="83367808"/>
        <c:axId val="83369344"/>
      </c:barChart>
      <c:catAx>
        <c:axId val="833678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3369344"/>
        <c:crosses val="autoZero"/>
        <c:auto val="1"/>
        <c:lblAlgn val="ctr"/>
        <c:lblOffset val="100"/>
      </c:catAx>
      <c:valAx>
        <c:axId val="83369344"/>
        <c:scaling>
          <c:orientation val="minMax"/>
        </c:scaling>
        <c:delete val="1"/>
        <c:axPos val="l"/>
        <c:numFmt formatCode="#,##0.0;[Red]#,##0.0" sourceLinked="1"/>
        <c:tickLblPos val="nextTo"/>
        <c:crossAx val="83367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222563976377972E-2"/>
          <c:y val="0.16208333333333341"/>
          <c:w val="0.95815903871391073"/>
          <c:h val="7.3980314960629928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Պետական բյուջեի պակասուրդի/հավելուրդի ֆինասավորման ներքին և արտաքին աղբյուրները,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4114114114114115E-2"/>
          <c:y val="0.18258103674540688"/>
          <c:w val="0.97334846657681329"/>
          <c:h val="0.81741896325459351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05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Sheet1!$C$304:$F$304</c:f>
              <c:numCache>
                <c:formatCode>#,##0.0;[Red]#,##0.0</c:formatCode>
                <c:ptCount val="4"/>
                <c:pt idx="0" formatCode="#,##0.0_);\(#,##0.0\)">
                  <c:v>-78279</c:v>
                </c:pt>
                <c:pt idx="1">
                  <c:v>71453.100000000006</c:v>
                </c:pt>
                <c:pt idx="2">
                  <c:v>32281.1</c:v>
                </c:pt>
                <c:pt idx="3" formatCode="#,##0.0_);\(#,##0.0\)">
                  <c:v>-12816.8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6.7579390414036127E-4"/>
                  <c:y val="3.240748031496063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0030030030030043E-3"/>
                  <c:y val="1.250000000000008E-2"/>
                </c:manualLayout>
              </c:layout>
              <c:showVal val="1"/>
            </c:dLbl>
            <c:dLbl>
              <c:idx val="3"/>
              <c:layout>
                <c:manualLayout>
                  <c:x val="-6.0060060060061187E-3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Sheet1!$C$305:$F$305</c:f>
              <c:numCache>
                <c:formatCode>#,##0.0_);\(#,##0.0\)</c:formatCode>
                <c:ptCount val="4"/>
                <c:pt idx="0">
                  <c:v>119139.9</c:v>
                </c:pt>
                <c:pt idx="1">
                  <c:v>-12068.3</c:v>
                </c:pt>
                <c:pt idx="2">
                  <c:v>-20853.099999999988</c:v>
                </c:pt>
                <c:pt idx="3">
                  <c:v>3848</c:v>
                </c:pt>
              </c:numCache>
            </c:numRef>
          </c:val>
        </c:ser>
        <c:dLbls>
          <c:showVal val="1"/>
        </c:dLbls>
        <c:gapWidth val="95"/>
        <c:overlap val="100"/>
        <c:axId val="83415808"/>
        <c:axId val="83417344"/>
      </c:barChart>
      <c:catAx>
        <c:axId val="834158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3417344"/>
        <c:crosses val="autoZero"/>
        <c:auto val="1"/>
        <c:lblAlgn val="ctr"/>
        <c:lblOffset val="100"/>
      </c:catAx>
      <c:valAx>
        <c:axId val="83417344"/>
        <c:scaling>
          <c:orientation val="minMax"/>
        </c:scaling>
        <c:delete val="1"/>
        <c:axPos val="l"/>
        <c:numFmt formatCode="#,##0.0_);\(#,##0.0\)" sourceLinked="1"/>
        <c:tickLblPos val="nextTo"/>
        <c:crossAx val="83415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4024024024024027E-2"/>
          <c:y val="0.20462959317585303"/>
          <c:w val="0.97086354070606018"/>
          <c:h val="8.965682414698167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/>
            </a:pPr>
            <a:r>
              <a:rPr lang="hy-AM" sz="900" b="1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1.0973936899862825E-2"/>
          <c:y val="0.42107429279673381"/>
          <c:w val="0.9780521262002746"/>
          <c:h val="0.41083953047535726"/>
        </c:manualLayout>
      </c:layout>
      <c:barChart>
        <c:barDir val="col"/>
        <c:grouping val="clustered"/>
        <c:ser>
          <c:idx val="0"/>
          <c:order val="0"/>
          <c:tx>
            <c:strRef>
              <c:f>Sheet1!$C$26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Sheet1!$C$27:$C$29</c:f>
              <c:numCache>
                <c:formatCode>#,##0.0;[Red]#,##0.0</c:formatCode>
                <c:ptCount val="3"/>
                <c:pt idx="0">
                  <c:v>393105.2</c:v>
                </c:pt>
                <c:pt idx="1">
                  <c:v>120876.4</c:v>
                </c:pt>
                <c:pt idx="2" formatCode="#,##0.0">
                  <c:v>66248.800000000003</c:v>
                </c:pt>
              </c:numCache>
            </c:numRef>
          </c:val>
        </c:ser>
        <c:ser>
          <c:idx val="1"/>
          <c:order val="1"/>
          <c:tx>
            <c:strRef>
              <c:f>Sheet1!$D$26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Sheet1!$D$27:$D$29</c:f>
              <c:numCache>
                <c:formatCode>#,##0.0;[Red]#,##0.0</c:formatCode>
                <c:ptCount val="3"/>
                <c:pt idx="0">
                  <c:v>420988</c:v>
                </c:pt>
                <c:pt idx="1">
                  <c:v>117710.1</c:v>
                </c:pt>
                <c:pt idx="2">
                  <c:v>61884.6</c:v>
                </c:pt>
              </c:numCache>
            </c:numRef>
          </c:val>
        </c:ser>
        <c:ser>
          <c:idx val="2"/>
          <c:order val="2"/>
          <c:tx>
            <c:strRef>
              <c:f>Sheet1!$E$26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2.5148314880039565E-17"/>
                  <c:y val="1.3888888888888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Sheet1!$E$27:$E$29</c:f>
              <c:numCache>
                <c:formatCode>#,##0.0;[Red]#,##0.0</c:formatCode>
                <c:ptCount val="3"/>
                <c:pt idx="0">
                  <c:v>485494.2</c:v>
                </c:pt>
                <c:pt idx="1">
                  <c:v>114269.6</c:v>
                </c:pt>
                <c:pt idx="2">
                  <c:v>52858.8</c:v>
                </c:pt>
              </c:numCache>
            </c:numRef>
          </c:val>
        </c:ser>
        <c:ser>
          <c:idx val="3"/>
          <c:order val="3"/>
          <c:tx>
            <c:strRef>
              <c:f>Sheet1!$F$26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Sheet1!$B$27:$B$29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Sheet1!$F$27:$F$29</c:f>
              <c:numCache>
                <c:formatCode>#,##0.0;[Red]#,##0.0</c:formatCode>
                <c:ptCount val="3"/>
                <c:pt idx="0">
                  <c:v>522115.1</c:v>
                </c:pt>
                <c:pt idx="1">
                  <c:v>129455.1</c:v>
                </c:pt>
                <c:pt idx="2">
                  <c:v>64759.6</c:v>
                </c:pt>
              </c:numCache>
            </c:numRef>
          </c:val>
        </c:ser>
        <c:dLbls>
          <c:showVal val="1"/>
        </c:dLbls>
        <c:overlap val="-25"/>
        <c:axId val="63608704"/>
        <c:axId val="63610880"/>
      </c:barChart>
      <c:catAx>
        <c:axId val="63608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3610880"/>
        <c:crosses val="autoZero"/>
        <c:auto val="1"/>
        <c:lblAlgn val="ctr"/>
        <c:lblOffset val="100"/>
      </c:catAx>
      <c:valAx>
        <c:axId val="63610880"/>
        <c:scaling>
          <c:orientation val="minMax"/>
        </c:scaling>
        <c:delete val="1"/>
        <c:axPos val="l"/>
        <c:numFmt formatCode="#,##0.0;[Red]#,##0.0" sourceLinked="1"/>
        <c:tickLblPos val="nextTo"/>
        <c:crossAx val="63608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1412292213473316"/>
          <c:w val="0.99781534301219343"/>
          <c:h val="7.4338363954505771E-2"/>
        </c:manualLayout>
      </c:layout>
      <c:txPr>
        <a:bodyPr/>
        <a:lstStyle/>
        <a:p>
          <a:pPr>
            <a:defRPr sz="700"/>
          </a:pPr>
          <a:endParaRPr lang="en-US"/>
        </a:p>
      </c:txPr>
    </c:legend>
    <c:plotVisOnly val="1"/>
    <c:dispBlanksAs val="gap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GHEA Grapalat" pitchFamily="50" charset="0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9832166812481808"/>
          <c:w val="1"/>
          <c:h val="0.56065981335666404"/>
        </c:manualLayout>
      </c:layout>
      <c:barChart>
        <c:barDir val="col"/>
        <c:grouping val="clustered"/>
        <c:ser>
          <c:idx val="0"/>
          <c:order val="0"/>
          <c:tx>
            <c:strRef>
              <c:f>Sheet1!$C$48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Sheet1!$C$49:$C$50</c:f>
              <c:numCache>
                <c:formatCode>#,##0.0;[Red]#,##0.0</c:formatCode>
                <c:ptCount val="2"/>
                <c:pt idx="0">
                  <c:v>607882.19999999925</c:v>
                </c:pt>
                <c:pt idx="1">
                  <c:v>341950.2</c:v>
                </c:pt>
              </c:numCache>
            </c:numRef>
          </c:val>
        </c:ser>
        <c:ser>
          <c:idx val="1"/>
          <c:order val="1"/>
          <c:tx>
            <c:strRef>
              <c:f>Sheet1!$D$48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Sheet1!$D$49:$D$50</c:f>
              <c:numCache>
                <c:formatCode>#,##0.0;[Red]#,##0.0</c:formatCode>
                <c:ptCount val="2"/>
                <c:pt idx="0">
                  <c:v>601052.4</c:v>
                </c:pt>
                <c:pt idx="1">
                  <c:v>368175.4</c:v>
                </c:pt>
              </c:numCache>
            </c:numRef>
          </c:val>
        </c:ser>
        <c:ser>
          <c:idx val="2"/>
          <c:order val="2"/>
          <c:tx>
            <c:strRef>
              <c:f>Sheet1!$E$48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Sheet1!$E$49:$E$50</c:f>
              <c:numCache>
                <c:formatCode>#,##0.0;[Red]#,##0.0</c:formatCode>
                <c:ptCount val="2"/>
                <c:pt idx="0">
                  <c:v>685872.9</c:v>
                </c:pt>
                <c:pt idx="1">
                  <c:v>409032.3</c:v>
                </c:pt>
              </c:numCache>
            </c:numRef>
          </c:val>
        </c:ser>
        <c:ser>
          <c:idx val="3"/>
          <c:order val="3"/>
          <c:tx>
            <c:strRef>
              <c:f>Sheet1!$F$48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1.38888888888889E-2"/>
                  <c:y val="9.259259259259269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Sheet1!$B$49:$B$50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Sheet1!$F$49:$F$50</c:f>
              <c:numCache>
                <c:formatCode>#,##0.0;[Red]#,##0.0</c:formatCode>
                <c:ptCount val="2"/>
                <c:pt idx="0">
                  <c:v>787571.19999999925</c:v>
                </c:pt>
                <c:pt idx="1">
                  <c:v>487107.7</c:v>
                </c:pt>
              </c:numCache>
            </c:numRef>
          </c:val>
        </c:ser>
        <c:dLbls>
          <c:showVal val="1"/>
        </c:dLbls>
        <c:overlap val="-25"/>
        <c:axId val="63670912"/>
        <c:axId val="63693952"/>
      </c:barChart>
      <c:catAx>
        <c:axId val="63670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3693952"/>
        <c:crosses val="autoZero"/>
        <c:auto val="1"/>
        <c:lblAlgn val="ctr"/>
        <c:lblOffset val="100"/>
      </c:catAx>
      <c:valAx>
        <c:axId val="63693952"/>
        <c:scaling>
          <c:orientation val="minMax"/>
        </c:scaling>
        <c:delete val="1"/>
        <c:axPos val="l"/>
        <c:numFmt formatCode="#,##0.0;[Red]#,##0.0" sourceLinked="1"/>
        <c:tickLblPos val="nextTo"/>
        <c:crossAx val="636709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29629629636"/>
          <c:w val="1"/>
          <c:h val="0.1076421697287839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1.0973936899862825E-2"/>
          <c:y val="0.26770195392242641"/>
          <c:w val="0.9780521262002746"/>
          <c:h val="0.54106372120151647"/>
        </c:manualLayout>
      </c:layout>
      <c:barChart>
        <c:barDir val="col"/>
        <c:grouping val="clustered"/>
        <c:ser>
          <c:idx val="0"/>
          <c:order val="0"/>
          <c:tx>
            <c:strRef>
              <c:f>Sheet1!$C$71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-5.4869684499314177E-3"/>
                  <c:y val="1.3888888888888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Sheet1!$C$72:$C$74</c:f>
              <c:numCache>
                <c:formatCode>General</c:formatCode>
                <c:ptCount val="3"/>
                <c:pt idx="0" formatCode="0.0">
                  <c:v>104.2</c:v>
                </c:pt>
                <c:pt idx="1">
                  <c:v>104.8</c:v>
                </c:pt>
                <c:pt idx="2">
                  <c:v>100.5</c:v>
                </c:pt>
              </c:numCache>
            </c:numRef>
          </c:val>
        </c:ser>
        <c:ser>
          <c:idx val="1"/>
          <c:order val="1"/>
          <c:tx>
            <c:strRef>
              <c:f>Sheet1!$D$71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dLbl>
              <c:idx val="1"/>
              <c:layout>
                <c:manualLayout>
                  <c:x val="2.7434842249657088E-3"/>
                  <c:y val="2.314814814814818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Sheet1!$D$72:$D$74</c:f>
              <c:numCache>
                <c:formatCode>General</c:formatCode>
                <c:ptCount val="3"/>
                <c:pt idx="0" formatCode="0.0">
                  <c:v>110</c:v>
                </c:pt>
                <c:pt idx="1">
                  <c:v>104.1</c:v>
                </c:pt>
                <c:pt idx="2">
                  <c:v>92.6</c:v>
                </c:pt>
              </c:numCache>
            </c:numRef>
          </c:val>
        </c:ser>
        <c:ser>
          <c:idx val="2"/>
          <c:order val="2"/>
          <c:tx>
            <c:strRef>
              <c:f>Sheet1!$E$71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Sheet1!$E$72:$E$74</c:f>
              <c:numCache>
                <c:formatCode>General</c:formatCode>
                <c:ptCount val="3"/>
                <c:pt idx="0" formatCode="0.0">
                  <c:v>112.9</c:v>
                </c:pt>
                <c:pt idx="1">
                  <c:v>97.1</c:v>
                </c:pt>
                <c:pt idx="2">
                  <c:v>86.6</c:v>
                </c:pt>
              </c:numCache>
            </c:numRef>
          </c:val>
        </c:ser>
        <c:ser>
          <c:idx val="3"/>
          <c:order val="3"/>
          <c:tx>
            <c:strRef>
              <c:f>Sheet1!$F$71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Sheet1!$B$72:$B$74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Sheet1!$F$72:$F$74</c:f>
              <c:numCache>
                <c:formatCode>General</c:formatCode>
                <c:ptCount val="3"/>
                <c:pt idx="0" formatCode="0.0">
                  <c:v>105.2</c:v>
                </c:pt>
                <c:pt idx="1">
                  <c:v>102.2</c:v>
                </c:pt>
                <c:pt idx="2" formatCode="0.0">
                  <c:v>121.8</c:v>
                </c:pt>
              </c:numCache>
            </c:numRef>
          </c:val>
        </c:ser>
        <c:dLbls>
          <c:showVal val="1"/>
        </c:dLbls>
        <c:overlap val="-25"/>
        <c:axId val="63759488"/>
        <c:axId val="63761408"/>
      </c:barChart>
      <c:catAx>
        <c:axId val="637594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3761408"/>
        <c:crosses val="autoZero"/>
        <c:auto val="1"/>
        <c:lblAlgn val="ctr"/>
        <c:lblOffset val="100"/>
      </c:catAx>
      <c:valAx>
        <c:axId val="63761408"/>
        <c:scaling>
          <c:orientation val="minMax"/>
        </c:scaling>
        <c:delete val="1"/>
        <c:axPos val="l"/>
        <c:numFmt formatCode="0.0" sourceLinked="1"/>
        <c:tickLblPos val="nextTo"/>
        <c:crossAx val="63759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4277502349243396"/>
          <c:y val="0.14768518518518528"/>
          <c:w val="0.7062195003402354"/>
          <c:h val="0.1200167687372411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65E-2"/>
          <c:y val="0.3130152193873294"/>
          <c:w val="0.93888888888888922"/>
          <c:h val="0.5434747688341075"/>
        </c:manualLayout>
      </c:layout>
      <c:barChart>
        <c:barDir val="col"/>
        <c:grouping val="clustered"/>
        <c:ser>
          <c:idx val="0"/>
          <c:order val="0"/>
          <c:tx>
            <c:strRef>
              <c:f>Sheet1!$C$95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Sheet1!$C$96:$C$97</c:f>
              <c:numCache>
                <c:formatCode>General</c:formatCode>
                <c:ptCount val="2"/>
                <c:pt idx="0">
                  <c:v>92.4</c:v>
                </c:pt>
                <c:pt idx="1">
                  <c:v>103.1</c:v>
                </c:pt>
              </c:numCache>
            </c:numRef>
          </c:val>
        </c:ser>
        <c:ser>
          <c:idx val="1"/>
          <c:order val="1"/>
          <c:tx>
            <c:strRef>
              <c:f>Sheet1!$D$95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Sheet1!$D$96:$D$97</c:f>
              <c:numCache>
                <c:formatCode>0.0</c:formatCode>
                <c:ptCount val="2"/>
                <c:pt idx="0" formatCode="General">
                  <c:v>99.3</c:v>
                </c:pt>
                <c:pt idx="1">
                  <c:v>109.3</c:v>
                </c:pt>
              </c:numCache>
            </c:numRef>
          </c:val>
        </c:ser>
        <c:ser>
          <c:idx val="2"/>
          <c:order val="2"/>
          <c:tx>
            <c:strRef>
              <c:f>Sheet1!$E$95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Sheet1!$E$96:$E$97</c:f>
              <c:numCache>
                <c:formatCode>0.0</c:formatCode>
                <c:ptCount val="2"/>
                <c:pt idx="0" formatCode="General">
                  <c:v>112.1</c:v>
                </c:pt>
                <c:pt idx="1">
                  <c:v>110.1</c:v>
                </c:pt>
              </c:numCache>
            </c:numRef>
          </c:val>
        </c:ser>
        <c:ser>
          <c:idx val="3"/>
          <c:order val="3"/>
          <c:tx>
            <c:strRef>
              <c:f>Sheet1!$F$95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Sheet1!$B$96:$B$97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Sheet1!$F$96:$F$97</c:f>
              <c:numCache>
                <c:formatCode>General</c:formatCode>
                <c:ptCount val="2"/>
                <c:pt idx="0">
                  <c:v>110.3</c:v>
                </c:pt>
                <c:pt idx="1">
                  <c:v>117.6</c:v>
                </c:pt>
              </c:numCache>
            </c:numRef>
          </c:val>
        </c:ser>
        <c:dLbls>
          <c:showVal val="1"/>
        </c:dLbls>
        <c:overlap val="-25"/>
        <c:axId val="84194816"/>
        <c:axId val="84296448"/>
      </c:barChart>
      <c:catAx>
        <c:axId val="841948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4296448"/>
        <c:crosses val="autoZero"/>
        <c:auto val="1"/>
        <c:lblAlgn val="ctr"/>
        <c:lblOffset val="100"/>
      </c:catAx>
      <c:valAx>
        <c:axId val="84296448"/>
        <c:scaling>
          <c:orientation val="minMax"/>
        </c:scaling>
        <c:delete val="1"/>
        <c:axPos val="l"/>
        <c:numFmt formatCode="General" sourceLinked="1"/>
        <c:tickLblPos val="nextTo"/>
        <c:crossAx val="84194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712379702537201E-2"/>
          <c:y val="0.1597173144876326"/>
          <c:w val="0.86013079615048149"/>
          <c:h val="0.1425239512905409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General</c:formatCode>
                <c:ptCount val="2"/>
                <c:pt idx="0" formatCode="0.0">
                  <c:v>105</c:v>
                </c:pt>
                <c:pt idx="1">
                  <c:v>101.9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General</c:formatCode>
                <c:ptCount val="2"/>
                <c:pt idx="0">
                  <c:v>98.5</c:v>
                </c:pt>
                <c:pt idx="1">
                  <c:v>100.1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General</c:formatCode>
                <c:ptCount val="2"/>
                <c:pt idx="0">
                  <c:v>100.1</c:v>
                </c:pt>
                <c:pt idx="1">
                  <c:v>102.4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General</c:formatCode>
                <c:ptCount val="2"/>
                <c:pt idx="0">
                  <c:v>103.1</c:v>
                </c:pt>
                <c:pt idx="1">
                  <c:v>102.1</c:v>
                </c:pt>
              </c:numCache>
            </c:numRef>
          </c:val>
        </c:ser>
        <c:dLbls>
          <c:showVal val="1"/>
        </c:dLbls>
        <c:overlap val="-25"/>
        <c:axId val="64586112"/>
        <c:axId val="64587648"/>
      </c:barChart>
      <c:catAx>
        <c:axId val="64586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4587648"/>
        <c:crosses val="autoZero"/>
        <c:auto val="1"/>
        <c:lblAlgn val="ctr"/>
        <c:lblOffset val="100"/>
      </c:catAx>
      <c:valAx>
        <c:axId val="64587648"/>
        <c:scaling>
          <c:orientation val="minMax"/>
        </c:scaling>
        <c:delete val="1"/>
        <c:axPos val="l"/>
        <c:numFmt formatCode="0.0" sourceLinked="1"/>
        <c:tickLblPos val="nextTo"/>
        <c:crossAx val="64586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45144356955382"/>
          <c:y val="0.1081272084805654"/>
          <c:w val="0.78762735303248388"/>
          <c:h val="0.1485864796935718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65E-2"/>
          <c:y val="0.15596707818930058"/>
          <c:w val="0.93888888888888922"/>
          <c:h val="0.67404685525420482"/>
        </c:manualLayout>
      </c:layout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2015թ. հունվար-ապրիլ</c:v>
                </c:pt>
                <c:pt idx="1">
                  <c:v>2016թ. հունվար-ապրիլ</c:v>
                </c:pt>
                <c:pt idx="2">
                  <c:v>2017թ. հունվար-ապրիլ</c:v>
                </c:pt>
                <c:pt idx="3">
                  <c:v>2018թ. հունվար-ապրիլ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>
                  <c:v>399846</c:v>
                </c:pt>
                <c:pt idx="1">
                  <c:v>400615</c:v>
                </c:pt>
                <c:pt idx="2">
                  <c:v>544073</c:v>
                </c:pt>
                <c:pt idx="3">
                  <c:v>542776</c:v>
                </c:pt>
              </c:numCache>
            </c:numRef>
          </c:val>
        </c:ser>
        <c:dLbls>
          <c:showVal val="1"/>
        </c:dLbls>
        <c:overlap val="-25"/>
        <c:axId val="69822336"/>
        <c:axId val="69823872"/>
      </c:barChart>
      <c:catAx>
        <c:axId val="6982233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9823872"/>
        <c:crosses val="autoZero"/>
        <c:auto val="1"/>
        <c:lblAlgn val="ctr"/>
        <c:lblOffset val="100"/>
      </c:catAx>
      <c:valAx>
        <c:axId val="69823872"/>
        <c:scaling>
          <c:orientation val="minMax"/>
        </c:scaling>
        <c:delete val="1"/>
        <c:axPos val="l"/>
        <c:numFmt formatCode="#,##0.0;[Red]#,##0.0" sourceLinked="1"/>
        <c:tickLblPos val="nextTo"/>
        <c:crossAx val="698223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2520983264188754E-2"/>
          <c:y val="0.29959495803765274"/>
          <c:w val="0.97782564276239703"/>
          <c:h val="0.69989063867016743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1398.4</c:v>
                </c:pt>
                <c:pt idx="1">
                  <c:v>-428.7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#,##0.0</c:formatCode>
                <c:ptCount val="2"/>
                <c:pt idx="0" formatCode="#,##0.0;[Red]#,##0.0">
                  <c:v>1467.3</c:v>
                </c:pt>
                <c:pt idx="1">
                  <c:v>-418.9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1665.4</c:v>
                </c:pt>
                <c:pt idx="1">
                  <c:v>-448.7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2221.8000000000002</c:v>
                </c:pt>
                <c:pt idx="1">
                  <c:v>-692.9</c:v>
                </c:pt>
              </c:numCache>
            </c:numRef>
          </c:val>
        </c:ser>
        <c:dLbls>
          <c:showVal val="1"/>
        </c:dLbls>
        <c:overlap val="-25"/>
        <c:axId val="69859968"/>
        <c:axId val="84652416"/>
      </c:barChart>
      <c:catAx>
        <c:axId val="69859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4652416"/>
        <c:crosses val="autoZero"/>
        <c:auto val="1"/>
        <c:lblAlgn val="ctr"/>
        <c:lblOffset val="100"/>
      </c:catAx>
      <c:valAx>
        <c:axId val="84652416"/>
        <c:scaling>
          <c:orientation val="minMax"/>
        </c:scaling>
        <c:delete val="1"/>
        <c:axPos val="l"/>
        <c:numFmt formatCode="#,##0.0;[Red]#,##0.0" sourceLinked="1"/>
        <c:tickLblPos val="nextTo"/>
        <c:crossAx val="69859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491222064062E-2"/>
          <c:y val="0.16157403401497888"/>
          <c:w val="0.90128903223481582"/>
          <c:h val="0.10896957324778851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3.0303030303030311E-2"/>
          <c:y val="0.26807535571211494"/>
          <c:w val="0.93939393939393945"/>
          <c:h val="0.6202579776212187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2015թ.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>
                  <c:v>421.1</c:v>
                </c:pt>
                <c:pt idx="1">
                  <c:v>977.3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2016թ.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#,##0.0">
                  <c:v>524.20000000000005</c:v>
                </c:pt>
                <c:pt idx="1">
                  <c:v>943.1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2017թ.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 formatCode="General">
                  <c:v>608.4</c:v>
                </c:pt>
                <c:pt idx="1">
                  <c:v>1057.0999999999999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2018թ. հունվար-ապրիլ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General">
                  <c:v>764.5</c:v>
                </c:pt>
                <c:pt idx="1">
                  <c:v>1457.3</c:v>
                </c:pt>
              </c:numCache>
            </c:numRef>
          </c:val>
        </c:ser>
        <c:dLbls>
          <c:showVal val="1"/>
        </c:dLbls>
        <c:overlap val="-25"/>
        <c:axId val="106151936"/>
        <c:axId val="106153472"/>
      </c:barChart>
      <c:catAx>
        <c:axId val="106151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6153472"/>
        <c:crosses val="autoZero"/>
        <c:auto val="1"/>
        <c:lblAlgn val="ctr"/>
        <c:lblOffset val="100"/>
      </c:catAx>
      <c:valAx>
        <c:axId val="106153472"/>
        <c:scaling>
          <c:orientation val="minMax"/>
        </c:scaling>
        <c:delete val="1"/>
        <c:axPos val="l"/>
        <c:numFmt formatCode="#,##0.0;[Red]#,##0.0" sourceLinked="1"/>
        <c:tickLblPos val="nextTo"/>
        <c:crossAx val="1061519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342443764777342"/>
          <c:y val="0.11820175438596493"/>
          <c:w val="0.64284809440142321"/>
          <c:h val="0.1279437767647465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Administrator</cp:lastModifiedBy>
  <cp:revision>2</cp:revision>
  <cp:lastPrinted>2017-06-14T06:31:00Z</cp:lastPrinted>
  <dcterms:created xsi:type="dcterms:W3CDTF">2018-06-12T11:55:00Z</dcterms:created>
  <dcterms:modified xsi:type="dcterms:W3CDTF">2018-06-12T11:55:00Z</dcterms:modified>
</cp:coreProperties>
</file>