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84519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</w:rPr>
        <w:t>Տ</w:t>
      </w:r>
      <w:r w:rsidR="002F2A59" w:rsidRPr="002F2A59">
        <w:rPr>
          <w:rFonts w:ascii="GHEA Grapalat" w:hAnsi="GHEA Grapalat" w:cs="Sylfaen"/>
          <w:b/>
          <w:sz w:val="28"/>
          <w:szCs w:val="28"/>
        </w:rPr>
        <w:t>ԵՂԵԿԱՆՔ</w:t>
      </w:r>
    </w:p>
    <w:p w:rsidR="00102816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2014-201</w:t>
      </w:r>
      <w:r w:rsidR="009C6F99">
        <w:rPr>
          <w:rFonts w:ascii="GHEA Grapalat" w:hAnsi="GHEA Grapalat" w:cs="Sylfaen"/>
          <w:sz w:val="24"/>
          <w:szCs w:val="24"/>
        </w:rPr>
        <w:t>7</w:t>
      </w:r>
      <w:r w:rsidRPr="005403D8">
        <w:rPr>
          <w:rFonts w:ascii="GHEA Grapalat" w:hAnsi="GHEA Grapalat" w:cs="Sylfaen"/>
          <w:sz w:val="24"/>
          <w:szCs w:val="24"/>
        </w:rPr>
        <w:t xml:space="preserve">թթ. </w:t>
      </w:r>
      <w:r w:rsidR="005573EF" w:rsidRPr="005573EF">
        <w:rPr>
          <w:rFonts w:ascii="GHEA Grapalat" w:hAnsi="GHEA Grapalat" w:cs="Sylfaen"/>
          <w:sz w:val="24"/>
          <w:szCs w:val="24"/>
        </w:rPr>
        <w:t>ՀՀ տնտեսությունը բնութագրող հիմնական մակրոտնտեսական ցուցանիշների վերաբերյալ (հունվար</w:t>
      </w:r>
      <w:r w:rsidR="003A58E5">
        <w:rPr>
          <w:rFonts w:ascii="GHEA Grapalat" w:hAnsi="GHEA Grapalat" w:cs="Sylfaen"/>
          <w:sz w:val="24"/>
          <w:szCs w:val="24"/>
        </w:rPr>
        <w:t>-</w:t>
      </w:r>
      <w:r w:rsidR="00953C27">
        <w:rPr>
          <w:rFonts w:ascii="GHEA Grapalat" w:hAnsi="GHEA Grapalat" w:cs="Sylfaen"/>
          <w:sz w:val="24"/>
          <w:szCs w:val="24"/>
        </w:rPr>
        <w:t>օգոստոս</w:t>
      </w:r>
      <w:r w:rsidR="005573EF" w:rsidRPr="005573EF">
        <w:rPr>
          <w:rFonts w:ascii="GHEA Grapalat" w:hAnsi="GHEA Grapalat" w:cs="Sylfaen"/>
          <w:sz w:val="24"/>
          <w:szCs w:val="24"/>
        </w:rPr>
        <w:t>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AC2D9E" w:rsidRDefault="00953C27" w:rsidP="00AC2D9E">
      <w:pPr>
        <w:ind w:left="-360" w:firstLine="360"/>
        <w:rPr>
          <w:rFonts w:ascii="GHEA Grapalat" w:hAnsi="GHEA Grapalat" w:cs="Sylfaen"/>
          <w:sz w:val="24"/>
          <w:szCs w:val="24"/>
        </w:rPr>
      </w:pPr>
      <w:r w:rsidRPr="00953C27">
        <w:rPr>
          <w:rFonts w:ascii="GHEA Grapalat" w:hAnsi="GHEA Grapalat" w:cs="Sylfaen"/>
          <w:noProof/>
          <w:sz w:val="24"/>
          <w:szCs w:val="24"/>
        </w:rPr>
        <w:drawing>
          <wp:inline distT="0" distB="0" distL="0" distR="0">
            <wp:extent cx="4556232" cy="2743200"/>
            <wp:effectExtent l="19050" t="0" r="15768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953C27">
        <w:rPr>
          <w:rFonts w:ascii="GHEA Grapalat" w:hAnsi="GHEA Grapalat" w:cs="Sylfaen"/>
          <w:noProof/>
          <w:sz w:val="24"/>
          <w:szCs w:val="24"/>
        </w:rPr>
        <w:drawing>
          <wp:inline distT="0" distB="0" distL="0" distR="0">
            <wp:extent cx="4684731" cy="2743200"/>
            <wp:effectExtent l="19050" t="0" r="20619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2FD5" w:rsidRDefault="00953C27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953C27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54962" cy="2743200"/>
            <wp:effectExtent l="19050" t="0" r="17038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953C27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87906" cy="2743200"/>
            <wp:effectExtent l="19050" t="0" r="17444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2278" w:rsidRDefault="002D2278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A40DCD" w:rsidRDefault="00A40DCD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5573EF" w:rsidRDefault="00BB238E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BB238E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43425" cy="274320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53363">
        <w:rPr>
          <w:rFonts w:ascii="GHEA Grapalat" w:hAnsi="GHEA Grapalat"/>
          <w:sz w:val="24"/>
          <w:szCs w:val="24"/>
        </w:rPr>
        <w:t xml:space="preserve"> </w:t>
      </w:r>
      <w:r w:rsidRPr="00BB238E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46708" cy="2743200"/>
            <wp:effectExtent l="19050" t="0" r="25292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73EF" w:rsidRDefault="00BB238E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BB238E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43425" cy="310551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440E2C">
        <w:rPr>
          <w:rFonts w:ascii="GHEA Grapalat" w:hAnsi="GHEA Grapalat"/>
          <w:sz w:val="24"/>
          <w:szCs w:val="24"/>
        </w:rPr>
        <w:t xml:space="preserve"> </w:t>
      </w:r>
      <w:r w:rsidRPr="00BB238E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45438" cy="3084447"/>
            <wp:effectExtent l="19050" t="0" r="26562" b="1653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0DCD" w:rsidRDefault="00A40DCD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Pr="00013691" w:rsidRDefault="00013691" w:rsidP="00E305FB">
      <w:pPr>
        <w:ind w:left="-360" w:firstLine="360"/>
        <w:rPr>
          <w:rFonts w:ascii="GHEA Grapalat" w:hAnsi="GHEA Grapalat"/>
          <w:sz w:val="4"/>
          <w:szCs w:val="4"/>
        </w:rPr>
      </w:pPr>
    </w:p>
    <w:p w:rsidR="005573EF" w:rsidRDefault="00BB238E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BB238E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466685" cy="2932346"/>
            <wp:effectExtent l="19050" t="0" r="10065" b="1354"/>
            <wp:docPr id="1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013691">
        <w:rPr>
          <w:rFonts w:ascii="GHEA Grapalat" w:hAnsi="GHEA Grapalat"/>
          <w:sz w:val="24"/>
          <w:szCs w:val="24"/>
        </w:rPr>
        <w:t xml:space="preserve">   </w:t>
      </w:r>
      <w:r w:rsidRPr="00BB238E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48925" cy="2892760"/>
            <wp:effectExtent l="19050" t="0" r="13575" b="2840"/>
            <wp:docPr id="13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E7DD6" w:rsidRDefault="000562F4" w:rsidP="00013691">
      <w:pPr>
        <w:ind w:left="-360" w:firstLine="360"/>
        <w:rPr>
          <w:rFonts w:ascii="GHEA Grapalat" w:hAnsi="GHEA Grapalat"/>
          <w:sz w:val="24"/>
          <w:szCs w:val="24"/>
        </w:rPr>
      </w:pPr>
      <w:r w:rsidRPr="000562F4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421991" cy="3165894"/>
            <wp:effectExtent l="19050" t="0" r="26059" b="0"/>
            <wp:docPr id="14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615643" w:rsidRPr="00615643">
        <w:rPr>
          <w:rFonts w:ascii="GHEA Grapalat" w:hAnsi="GHEA Grapalat"/>
          <w:sz w:val="24"/>
          <w:szCs w:val="24"/>
        </w:rPr>
        <w:t xml:space="preserve"> </w:t>
      </w:r>
      <w:r w:rsidRPr="000562F4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026074" cy="3165895"/>
            <wp:effectExtent l="19050" t="0" r="21926" b="0"/>
            <wp:docPr id="16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FA3C32" w:rsidRPr="00FA3C32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2841482" cy="3168806"/>
            <wp:effectExtent l="19050" t="0" r="16018" b="0"/>
            <wp:docPr id="17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FA3C32" w:rsidP="00013691">
      <w:pPr>
        <w:ind w:left="-360" w:firstLine="360"/>
        <w:rPr>
          <w:rFonts w:ascii="GHEA Grapalat" w:hAnsi="GHEA Grapalat"/>
          <w:sz w:val="24"/>
          <w:szCs w:val="24"/>
        </w:rPr>
      </w:pPr>
      <w:r w:rsidRPr="00FA3C32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666890" cy="3053751"/>
            <wp:effectExtent l="19050" t="0" r="19410" b="0"/>
            <wp:docPr id="18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FA3C32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17966" cy="3053751"/>
            <wp:effectExtent l="19050" t="0" r="25484" b="0"/>
            <wp:docPr id="19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013691">
      <w:pPr>
        <w:spacing w:after="0" w:line="240" w:lineRule="auto"/>
        <w:ind w:firstLine="720"/>
        <w:jc w:val="both"/>
        <w:rPr>
          <w:rFonts w:ascii="GHEA Grapalat" w:hAnsi="GHEA Grapalat"/>
          <w:sz w:val="16"/>
          <w:szCs w:val="16"/>
        </w:rPr>
      </w:pPr>
      <w:r w:rsidRPr="001E7DD6">
        <w:rPr>
          <w:rFonts w:ascii="GHEA Grapalat" w:hAnsi="GHEA Grapalat"/>
          <w:sz w:val="16"/>
          <w:szCs w:val="16"/>
        </w:rPr>
        <w:t>Տեղեկատվության աղբյուրներ են հանդիսացել</w:t>
      </w:r>
      <w:r>
        <w:rPr>
          <w:rFonts w:ascii="GHEA Grapalat" w:hAnsi="GHEA Grapalat"/>
          <w:sz w:val="16"/>
          <w:szCs w:val="16"/>
        </w:rPr>
        <w:t>`</w:t>
      </w:r>
    </w:p>
    <w:p w:rsidR="001C1675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1E7DD6">
        <w:rPr>
          <w:rFonts w:ascii="GHEA Grapalat" w:hAnsi="GHEA Grapalat" w:cs="Sylfaen"/>
          <w:sz w:val="16"/>
          <w:szCs w:val="16"/>
        </w:rPr>
        <w:t>Հայաստանի</w:t>
      </w:r>
      <w:r w:rsidRPr="001E7DD6">
        <w:rPr>
          <w:rFonts w:ascii="GHEA Grapalat" w:hAnsi="GHEA Grapalat"/>
          <w:sz w:val="16"/>
          <w:szCs w:val="16"/>
        </w:rPr>
        <w:t xml:space="preserve"> Հանրապետության ազգային վիճակագրական ծառայության ինտերնետային կայքի հրապարակումները` ՀՀ սոցիալ-տնտեսական վիճակը 2014-2017թթ. հունվար – </w:t>
      </w:r>
      <w:r w:rsidR="00845199">
        <w:rPr>
          <w:rFonts w:ascii="GHEA Grapalat" w:hAnsi="GHEA Grapalat"/>
          <w:sz w:val="16"/>
          <w:szCs w:val="16"/>
        </w:rPr>
        <w:t>օգոստոս</w:t>
      </w:r>
      <w:r w:rsidRPr="001E7DD6">
        <w:rPr>
          <w:rFonts w:ascii="GHEA Grapalat" w:hAnsi="GHEA Grapalat"/>
          <w:sz w:val="16"/>
          <w:szCs w:val="16"/>
        </w:rPr>
        <w:t>,</w:t>
      </w:r>
    </w:p>
    <w:p w:rsidR="001E7DD6" w:rsidRPr="001C1675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1C1675">
        <w:rPr>
          <w:rFonts w:ascii="GHEA Grapalat" w:hAnsi="GHEA Grapalat" w:cs="Sylfaen"/>
          <w:sz w:val="16"/>
          <w:szCs w:val="16"/>
        </w:rPr>
        <w:t>Հ</w:t>
      </w:r>
      <w:r w:rsidRPr="001C1675">
        <w:rPr>
          <w:rFonts w:ascii="GHEA Grapalat" w:hAnsi="GHEA Grapalat"/>
          <w:sz w:val="16"/>
          <w:szCs w:val="16"/>
        </w:rPr>
        <w:t>այաստանի Հանրապետության Կենտրոնական բանկի ինտերնետային կայքի վիճակագրության բաժնի հրապարակումները` ՀՀ բանկերի միջոցով ֆիզիկական անձանց անունով արտերկրից ստացված և ՀՀ–ից ֆիզիկական անձանց կողմից արտերկիր իրականացված փոխանցումներ` ամսեկան:</w:t>
      </w:r>
    </w:p>
    <w:sectPr w:rsidR="001E7DD6" w:rsidRPr="001C1675" w:rsidSect="00013691">
      <w:headerReference w:type="default" r:id="rId23"/>
      <w:pgSz w:w="15840" w:h="12240" w:orient="landscape"/>
      <w:pgMar w:top="450" w:right="270" w:bottom="270" w:left="5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021" w:rsidRDefault="00695021" w:rsidP="00AC2D9E">
      <w:pPr>
        <w:spacing w:after="0" w:line="240" w:lineRule="auto"/>
      </w:pPr>
      <w:r>
        <w:separator/>
      </w:r>
    </w:p>
  </w:endnote>
  <w:endnote w:type="continuationSeparator" w:id="1">
    <w:p w:rsidR="00695021" w:rsidRDefault="00695021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021" w:rsidRDefault="00695021" w:rsidP="00AC2D9E">
      <w:pPr>
        <w:spacing w:after="0" w:line="240" w:lineRule="auto"/>
      </w:pPr>
      <w:r>
        <w:separator/>
      </w:r>
    </w:p>
  </w:footnote>
  <w:footnote w:type="continuationSeparator" w:id="1">
    <w:p w:rsidR="00695021" w:rsidRDefault="00695021" w:rsidP="00AC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CD" w:rsidRPr="00A40DCD" w:rsidRDefault="00A40DCD" w:rsidP="00A40DCD">
    <w:pPr>
      <w:pStyle w:val="Header"/>
      <w:jc w:val="right"/>
      <w:rPr>
        <w:rFonts w:ascii="GHEA Grapalat" w:hAnsi="GHEA Grapalat"/>
      </w:rPr>
    </w:pPr>
    <w:r w:rsidRPr="00A40DCD">
      <w:rPr>
        <w:rFonts w:ascii="GHEA Grapalat" w:hAnsi="GHEA Grapalat"/>
      </w:rPr>
      <w:t>Պատրաստված է Աժ բյուջետային գրասենյակի կողմից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2DF"/>
    <w:multiLevelType w:val="hybridMultilevel"/>
    <w:tmpl w:val="2EC24186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13691"/>
    <w:rsid w:val="00014E0B"/>
    <w:rsid w:val="00015EAF"/>
    <w:rsid w:val="000562F4"/>
    <w:rsid w:val="0006054D"/>
    <w:rsid w:val="000650B8"/>
    <w:rsid w:val="000675D6"/>
    <w:rsid w:val="0008501D"/>
    <w:rsid w:val="000C120D"/>
    <w:rsid w:val="00102816"/>
    <w:rsid w:val="0012000E"/>
    <w:rsid w:val="001476E6"/>
    <w:rsid w:val="00160AE9"/>
    <w:rsid w:val="00184797"/>
    <w:rsid w:val="00194EC9"/>
    <w:rsid w:val="0019787B"/>
    <w:rsid w:val="001B0B81"/>
    <w:rsid w:val="001C1675"/>
    <w:rsid w:val="001D2D9A"/>
    <w:rsid w:val="001D6A45"/>
    <w:rsid w:val="001E262C"/>
    <w:rsid w:val="001E7DD6"/>
    <w:rsid w:val="001F2E6E"/>
    <w:rsid w:val="002003E2"/>
    <w:rsid w:val="00202039"/>
    <w:rsid w:val="00212BB3"/>
    <w:rsid w:val="00227F84"/>
    <w:rsid w:val="0025031E"/>
    <w:rsid w:val="00250649"/>
    <w:rsid w:val="00253363"/>
    <w:rsid w:val="00261BD4"/>
    <w:rsid w:val="00262AB4"/>
    <w:rsid w:val="00270CA5"/>
    <w:rsid w:val="00274F9A"/>
    <w:rsid w:val="002A0970"/>
    <w:rsid w:val="002C1B34"/>
    <w:rsid w:val="002C7775"/>
    <w:rsid w:val="002D2278"/>
    <w:rsid w:val="002D3E86"/>
    <w:rsid w:val="002E2575"/>
    <w:rsid w:val="002F2A59"/>
    <w:rsid w:val="003003CC"/>
    <w:rsid w:val="00304E24"/>
    <w:rsid w:val="0032061B"/>
    <w:rsid w:val="003361C0"/>
    <w:rsid w:val="00345F90"/>
    <w:rsid w:val="003670A8"/>
    <w:rsid w:val="003A58E5"/>
    <w:rsid w:val="003C7B39"/>
    <w:rsid w:val="003D5370"/>
    <w:rsid w:val="003F4D60"/>
    <w:rsid w:val="00406E0A"/>
    <w:rsid w:val="00440E2C"/>
    <w:rsid w:val="00440FAF"/>
    <w:rsid w:val="00455B1D"/>
    <w:rsid w:val="00460B7D"/>
    <w:rsid w:val="00461DE6"/>
    <w:rsid w:val="00480140"/>
    <w:rsid w:val="00482ADD"/>
    <w:rsid w:val="00487DE4"/>
    <w:rsid w:val="004B29FC"/>
    <w:rsid w:val="004B3A6B"/>
    <w:rsid w:val="004B6FE4"/>
    <w:rsid w:val="004C181A"/>
    <w:rsid w:val="004D38E0"/>
    <w:rsid w:val="004F2B23"/>
    <w:rsid w:val="00506600"/>
    <w:rsid w:val="00513FFD"/>
    <w:rsid w:val="00522D9B"/>
    <w:rsid w:val="005244EF"/>
    <w:rsid w:val="00530666"/>
    <w:rsid w:val="005333D4"/>
    <w:rsid w:val="005403D8"/>
    <w:rsid w:val="005573EF"/>
    <w:rsid w:val="0057700D"/>
    <w:rsid w:val="005B1A4E"/>
    <w:rsid w:val="005B7200"/>
    <w:rsid w:val="005C63AF"/>
    <w:rsid w:val="005D5AFC"/>
    <w:rsid w:val="005E0215"/>
    <w:rsid w:val="005F7BA7"/>
    <w:rsid w:val="00604084"/>
    <w:rsid w:val="00615643"/>
    <w:rsid w:val="006204FF"/>
    <w:rsid w:val="00630298"/>
    <w:rsid w:val="006312BF"/>
    <w:rsid w:val="00636546"/>
    <w:rsid w:val="006378AC"/>
    <w:rsid w:val="006438C5"/>
    <w:rsid w:val="0064680E"/>
    <w:rsid w:val="006610FD"/>
    <w:rsid w:val="00672C70"/>
    <w:rsid w:val="00683871"/>
    <w:rsid w:val="006927B1"/>
    <w:rsid w:val="00695021"/>
    <w:rsid w:val="00697E19"/>
    <w:rsid w:val="006A61EA"/>
    <w:rsid w:val="006B5023"/>
    <w:rsid w:val="006B6EF3"/>
    <w:rsid w:val="006D02A5"/>
    <w:rsid w:val="006D77DE"/>
    <w:rsid w:val="006F5787"/>
    <w:rsid w:val="006F698B"/>
    <w:rsid w:val="007061B2"/>
    <w:rsid w:val="00734466"/>
    <w:rsid w:val="00745186"/>
    <w:rsid w:val="00795E20"/>
    <w:rsid w:val="007A694E"/>
    <w:rsid w:val="007A7000"/>
    <w:rsid w:val="007A74E8"/>
    <w:rsid w:val="007B37F5"/>
    <w:rsid w:val="007B4FE1"/>
    <w:rsid w:val="007C0AE2"/>
    <w:rsid w:val="007C3361"/>
    <w:rsid w:val="007D095A"/>
    <w:rsid w:val="00803D24"/>
    <w:rsid w:val="0081180D"/>
    <w:rsid w:val="00811EF3"/>
    <w:rsid w:val="00816579"/>
    <w:rsid w:val="00841547"/>
    <w:rsid w:val="00843B3E"/>
    <w:rsid w:val="00845199"/>
    <w:rsid w:val="00867138"/>
    <w:rsid w:val="008A36E5"/>
    <w:rsid w:val="008A5AC2"/>
    <w:rsid w:val="008C2FD5"/>
    <w:rsid w:val="008C5278"/>
    <w:rsid w:val="008D0DC3"/>
    <w:rsid w:val="008D75B0"/>
    <w:rsid w:val="008F0973"/>
    <w:rsid w:val="008F6A42"/>
    <w:rsid w:val="008F7B11"/>
    <w:rsid w:val="00917363"/>
    <w:rsid w:val="00917ADA"/>
    <w:rsid w:val="00923985"/>
    <w:rsid w:val="00927F36"/>
    <w:rsid w:val="00934D90"/>
    <w:rsid w:val="00947826"/>
    <w:rsid w:val="00953C27"/>
    <w:rsid w:val="009C34ED"/>
    <w:rsid w:val="009C6789"/>
    <w:rsid w:val="009C6F99"/>
    <w:rsid w:val="009E66DD"/>
    <w:rsid w:val="00A045DD"/>
    <w:rsid w:val="00A124D7"/>
    <w:rsid w:val="00A36CD4"/>
    <w:rsid w:val="00A40DCD"/>
    <w:rsid w:val="00AC2D9E"/>
    <w:rsid w:val="00AC75A4"/>
    <w:rsid w:val="00AD6420"/>
    <w:rsid w:val="00B00B2A"/>
    <w:rsid w:val="00B049B0"/>
    <w:rsid w:val="00B1681D"/>
    <w:rsid w:val="00B55DF2"/>
    <w:rsid w:val="00B61515"/>
    <w:rsid w:val="00B619F8"/>
    <w:rsid w:val="00B61D27"/>
    <w:rsid w:val="00B63EB8"/>
    <w:rsid w:val="00B84B20"/>
    <w:rsid w:val="00B85680"/>
    <w:rsid w:val="00BB238E"/>
    <w:rsid w:val="00BD3858"/>
    <w:rsid w:val="00BD7408"/>
    <w:rsid w:val="00C017E6"/>
    <w:rsid w:val="00C05E66"/>
    <w:rsid w:val="00C132D9"/>
    <w:rsid w:val="00C1557D"/>
    <w:rsid w:val="00C26433"/>
    <w:rsid w:val="00C277E0"/>
    <w:rsid w:val="00C94D95"/>
    <w:rsid w:val="00CB051C"/>
    <w:rsid w:val="00CD2C49"/>
    <w:rsid w:val="00CE2B51"/>
    <w:rsid w:val="00CF0868"/>
    <w:rsid w:val="00CF259D"/>
    <w:rsid w:val="00CF3581"/>
    <w:rsid w:val="00CF4D61"/>
    <w:rsid w:val="00D14A9F"/>
    <w:rsid w:val="00D221F8"/>
    <w:rsid w:val="00D34BAE"/>
    <w:rsid w:val="00D50656"/>
    <w:rsid w:val="00D53C3D"/>
    <w:rsid w:val="00D67B14"/>
    <w:rsid w:val="00D8356A"/>
    <w:rsid w:val="00DB08F9"/>
    <w:rsid w:val="00DB46EB"/>
    <w:rsid w:val="00DD1BED"/>
    <w:rsid w:val="00E0173A"/>
    <w:rsid w:val="00E07AEA"/>
    <w:rsid w:val="00E267D1"/>
    <w:rsid w:val="00E305FB"/>
    <w:rsid w:val="00E311F1"/>
    <w:rsid w:val="00E473FC"/>
    <w:rsid w:val="00E572E5"/>
    <w:rsid w:val="00E576E1"/>
    <w:rsid w:val="00E7138C"/>
    <w:rsid w:val="00E7371B"/>
    <w:rsid w:val="00E90F23"/>
    <w:rsid w:val="00EC11CC"/>
    <w:rsid w:val="00ED0F8A"/>
    <w:rsid w:val="00EF7F1B"/>
    <w:rsid w:val="00F057EC"/>
    <w:rsid w:val="00F336DE"/>
    <w:rsid w:val="00F37DA5"/>
    <w:rsid w:val="00F40D2C"/>
    <w:rsid w:val="00F51D59"/>
    <w:rsid w:val="00F63873"/>
    <w:rsid w:val="00F779CB"/>
    <w:rsid w:val="00FA1371"/>
    <w:rsid w:val="00FA3C32"/>
    <w:rsid w:val="00FD223E"/>
    <w:rsid w:val="00FD35C3"/>
    <w:rsid w:val="00FD6352"/>
    <w:rsid w:val="00FE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  <w:style w:type="paragraph" w:styleId="ListParagraph">
    <w:name w:val="List Paragraph"/>
    <w:basedOn w:val="Normal"/>
    <w:uiPriority w:val="34"/>
    <w:qFormat/>
    <w:rsid w:val="001E7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August2017\Book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August2017\Book1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August2017\Book1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August2017\Book1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August2017\Book1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August2017\Book1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August2017\Book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August2017\Book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August2017\Book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August2017\Book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August2017\Book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August2017\Book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August2017\Book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August2017\Book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August2017\Book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Տնտեսական ակտիվության ցուցանիշը նախորդ տարվա նույն ժամանակահատվածի նկատմամբ (%)</a:t>
            </a:r>
          </a:p>
        </c:rich>
      </c:tx>
    </c:title>
    <c:plotArea>
      <c:layout>
        <c:manualLayout>
          <c:layoutTarget val="inner"/>
          <c:xMode val="edge"/>
          <c:yMode val="edge"/>
          <c:x val="9.7409877284563212E-2"/>
          <c:y val="0.17083333333333348"/>
          <c:w val="0.90259012271543659"/>
          <c:h val="0.72649715660542502"/>
        </c:manualLayout>
      </c:layout>
      <c:barChart>
        <c:barDir val="col"/>
        <c:grouping val="clustered"/>
        <c:ser>
          <c:idx val="0"/>
          <c:order val="0"/>
          <c:tx>
            <c:strRef>
              <c:f>Sheet1!$B$5</c:f>
              <c:strCache>
                <c:ptCount val="1"/>
                <c:pt idx="0">
                  <c:v>Տնտեսական ակտիվության ցուցանիշը (ՏԱՑ)</c:v>
                </c:pt>
              </c:strCache>
            </c:strRef>
          </c:tx>
          <c:dLbls>
            <c:dLbl>
              <c:idx val="0"/>
              <c:layout>
                <c:manualLayout>
                  <c:x val="-5.555467763713534E-3"/>
                  <c:y val="1.8518518518518493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8.3621729534405342E-3"/>
                  <c:y val="-6.4814814814814908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-8.3621729534404873E-3"/>
                  <c:y val="-8.796296296296309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-5.5747819689603174E-3"/>
                  <c:y val="-7.4074074074074084E-2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Sheet1!$C$4:$F$4</c:f>
              <c:strCache>
                <c:ptCount val="4"/>
                <c:pt idx="0">
                  <c:v>2014թ. հունվար-օգոստոս</c:v>
                </c:pt>
                <c:pt idx="1">
                  <c:v>2015թ. հունվար-օգոստոս</c:v>
                </c:pt>
                <c:pt idx="2">
                  <c:v>2016թ. հունվար-օգոստոս</c:v>
                </c:pt>
                <c:pt idx="3">
                  <c:v>2017թ. հունվար-օգոստոս</c:v>
                </c:pt>
              </c:strCache>
            </c:strRef>
          </c:cat>
          <c:val>
            <c:numRef>
              <c:f>Sheet1!$C$5:$F$5</c:f>
              <c:numCache>
                <c:formatCode>0.0</c:formatCode>
                <c:ptCount val="4"/>
                <c:pt idx="0" formatCode="General">
                  <c:v>104.5</c:v>
                </c:pt>
                <c:pt idx="1">
                  <c:v>104.2</c:v>
                </c:pt>
                <c:pt idx="2" formatCode="#,##0.0;[Red]#,##0.0">
                  <c:v>102.4</c:v>
                </c:pt>
                <c:pt idx="3">
                  <c:v>105.5</c:v>
                </c:pt>
              </c:numCache>
            </c:numRef>
          </c:val>
        </c:ser>
        <c:gapWidth val="75"/>
        <c:overlap val="40"/>
        <c:axId val="81655296"/>
        <c:axId val="81656832"/>
      </c:barChart>
      <c:catAx>
        <c:axId val="81655296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1656832"/>
        <c:crosses val="autoZero"/>
        <c:auto val="1"/>
        <c:lblAlgn val="ctr"/>
        <c:lblOffset val="100"/>
      </c:catAx>
      <c:valAx>
        <c:axId val="816568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8165529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1.3371447222266101E-2"/>
          <c:y val="0.22854090902805618"/>
          <c:w val="0.97325710555546752"/>
          <c:h val="0.66970747659674612"/>
        </c:manualLayout>
      </c:layout>
      <c:barChart>
        <c:barDir val="col"/>
        <c:grouping val="clustered"/>
        <c:ser>
          <c:idx val="0"/>
          <c:order val="0"/>
          <c:tx>
            <c:strRef>
              <c:f>Sheet1!$B$199</c:f>
              <c:strCache>
                <c:ptCount val="1"/>
                <c:pt idx="0">
                  <c:v>Աշխատանք փնտրողներ, ընդամենը ժամանակաշրջանի վերջին ամսվա դրությամբ, մարդ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Sheet1!$C$198:$F$198</c:f>
              <c:strCache>
                <c:ptCount val="4"/>
                <c:pt idx="0">
                  <c:v>2014թ. հունվար-օգոստոս</c:v>
                </c:pt>
                <c:pt idx="1">
                  <c:v>2015թ. հունվար-օգոստոս</c:v>
                </c:pt>
                <c:pt idx="2">
                  <c:v>2016թ. հունվար-օգոստոս</c:v>
                </c:pt>
                <c:pt idx="3">
                  <c:v>2017թ. հունվար-օգոստոս</c:v>
                </c:pt>
              </c:strCache>
            </c:strRef>
          </c:cat>
          <c:val>
            <c:numRef>
              <c:f>Sheet1!$C$199:$F$199</c:f>
              <c:numCache>
                <c:formatCode>#,##0.0;[Red]#,##0.0</c:formatCode>
                <c:ptCount val="4"/>
                <c:pt idx="0">
                  <c:v>68400</c:v>
                </c:pt>
                <c:pt idx="1">
                  <c:v>86866</c:v>
                </c:pt>
                <c:pt idx="2">
                  <c:v>95784</c:v>
                </c:pt>
                <c:pt idx="3">
                  <c:v>89355</c:v>
                </c:pt>
              </c:numCache>
            </c:numRef>
          </c:val>
        </c:ser>
        <c:ser>
          <c:idx val="1"/>
          <c:order val="1"/>
          <c:tx>
            <c:strRef>
              <c:f>Sheet1!$B$200</c:f>
              <c:strCache>
                <c:ptCount val="1"/>
                <c:pt idx="0">
                  <c:v>Պաշտոնապես գրանցված գործազուրկների միջին ամսական թվաքանակը, ընդամենը ժամանակաշրջանի վերջին ամսվա դրությամբ, մարդ</c:v>
                </c:pt>
              </c:strCache>
            </c:strRef>
          </c:tx>
          <c:dLbls>
            <c:dLbl>
              <c:idx val="0"/>
              <c:layout>
                <c:manualLayout>
                  <c:x val="1.0697157777812881E-2"/>
                  <c:y val="8.7805417663407957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Sheet1!$C$198:$F$198</c:f>
              <c:strCache>
                <c:ptCount val="4"/>
                <c:pt idx="0">
                  <c:v>2014թ. հունվար-օգոստոս</c:v>
                </c:pt>
                <c:pt idx="1">
                  <c:v>2015թ. հունվար-օգոստոս</c:v>
                </c:pt>
                <c:pt idx="2">
                  <c:v>2016թ. հունվար-օգոստոս</c:v>
                </c:pt>
                <c:pt idx="3">
                  <c:v>2017թ. հունվար-օգոստոս</c:v>
                </c:pt>
              </c:strCache>
            </c:strRef>
          </c:cat>
          <c:val>
            <c:numRef>
              <c:f>Sheet1!$C$200:$F$200</c:f>
              <c:numCache>
                <c:formatCode>#,##0.0;[Red]#,##0.0</c:formatCode>
                <c:ptCount val="4"/>
                <c:pt idx="0">
                  <c:v>64285</c:v>
                </c:pt>
                <c:pt idx="1">
                  <c:v>74341</c:v>
                </c:pt>
                <c:pt idx="2">
                  <c:v>76985</c:v>
                </c:pt>
                <c:pt idx="3">
                  <c:v>74948</c:v>
                </c:pt>
              </c:numCache>
            </c:numRef>
          </c:val>
        </c:ser>
        <c:dLbls>
          <c:showVal val="1"/>
        </c:dLbls>
        <c:overlap val="-25"/>
        <c:axId val="107871232"/>
        <c:axId val="107873024"/>
      </c:barChart>
      <c:catAx>
        <c:axId val="107871232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07873024"/>
        <c:crosses val="autoZero"/>
        <c:auto val="1"/>
        <c:lblAlgn val="ctr"/>
        <c:lblOffset val="100"/>
      </c:catAx>
      <c:valAx>
        <c:axId val="107873024"/>
        <c:scaling>
          <c:orientation val="minMax"/>
        </c:scaling>
        <c:delete val="1"/>
        <c:axPos val="l"/>
        <c:numFmt formatCode="#,##0.0;[Red]#,##0.0" sourceLinked="1"/>
        <c:tickLblPos val="nextTo"/>
        <c:crossAx val="1078712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7848828945498186E-2"/>
          <c:y val="0"/>
          <c:w val="0.94965092099790949"/>
          <c:h val="0.2256955295288928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Միջին ամսական անվանական աշխատավարձը ժամանակաշրջանի վերջին ամսվա դրությամբ,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1.8556448570437502E-2"/>
          <c:y val="0.1999735303835187"/>
          <c:w val="0.95917581314503852"/>
          <c:h val="0.67941409282812426"/>
        </c:manualLayout>
      </c:layout>
      <c:barChart>
        <c:barDir val="col"/>
        <c:grouping val="clustered"/>
        <c:ser>
          <c:idx val="0"/>
          <c:order val="0"/>
          <c:tx>
            <c:strRef>
              <c:f>Sheet1!$B$219</c:f>
              <c:strCache>
                <c:ptCount val="1"/>
                <c:pt idx="0">
                  <c:v>Միջին ամսական անվանական աշխատավարձը ժամանակաշրջանի վերջին ամսվա դրությամբ, դրամ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Sheet1!$C$218:$F$218</c:f>
              <c:strCache>
                <c:ptCount val="4"/>
                <c:pt idx="0">
                  <c:v>2014թ. հունվար-օգոստոս</c:v>
                </c:pt>
                <c:pt idx="1">
                  <c:v>2015թ. հունվար-օգոստոս</c:v>
                </c:pt>
                <c:pt idx="2">
                  <c:v>2016թ. հունվար-օգոստոս</c:v>
                </c:pt>
                <c:pt idx="3">
                  <c:v>2017թ. հունվար-օգոստոս</c:v>
                </c:pt>
              </c:strCache>
            </c:strRef>
          </c:cat>
          <c:val>
            <c:numRef>
              <c:f>Sheet1!$C$219:$F$219</c:f>
              <c:numCache>
                <c:formatCode>#,##0.0</c:formatCode>
                <c:ptCount val="4"/>
                <c:pt idx="0">
                  <c:v>170970</c:v>
                </c:pt>
                <c:pt idx="1">
                  <c:v>183263</c:v>
                </c:pt>
                <c:pt idx="2">
                  <c:v>184825</c:v>
                </c:pt>
                <c:pt idx="3">
                  <c:v>191891</c:v>
                </c:pt>
              </c:numCache>
            </c:numRef>
          </c:val>
        </c:ser>
        <c:dLbls>
          <c:showVal val="1"/>
        </c:dLbls>
        <c:overlap val="-25"/>
        <c:axId val="107893120"/>
        <c:axId val="107894656"/>
      </c:barChart>
      <c:catAx>
        <c:axId val="107893120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07894656"/>
        <c:crosses val="autoZero"/>
        <c:auto val="1"/>
        <c:lblAlgn val="ctr"/>
        <c:lblOffset val="100"/>
      </c:catAx>
      <c:valAx>
        <c:axId val="107894656"/>
        <c:scaling>
          <c:orientation val="minMax"/>
        </c:scaling>
        <c:delete val="1"/>
        <c:axPos val="l"/>
        <c:numFmt formatCode="#,##0.0" sourceLinked="1"/>
        <c:tickLblPos val="nextTo"/>
        <c:crossAx val="10789312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700"/>
              <a:t>ՀՀ բանկերի միջոցով ֆիզիկական անձանց անունով արտերկրից ստացված և ՀՀ-ից ֆիզիկական անձանց կողմից արտերկիր իրականացված փոխանցումներ (հազ.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40819041692791452"/>
          <c:w val="1"/>
          <c:h val="0.4896766948998631"/>
        </c:manualLayout>
      </c:layout>
      <c:barChart>
        <c:barDir val="col"/>
        <c:grouping val="clustered"/>
        <c:ser>
          <c:idx val="0"/>
          <c:order val="0"/>
          <c:tx>
            <c:strRef>
              <c:f>Sheet1!$C$238</c:f>
              <c:strCache>
                <c:ptCount val="1"/>
                <c:pt idx="0">
                  <c:v>2014թ. հունվար-օգոստոս</c:v>
                </c:pt>
              </c:strCache>
            </c:strRef>
          </c:tx>
          <c:dLbls>
            <c:dLbl>
              <c:idx val="0"/>
              <c:layout>
                <c:manualLayout>
                  <c:x val="-4.1968570497615074E-3"/>
                  <c:y val="2.0057519279698156E-2"/>
                </c:manualLayout>
              </c:layout>
              <c:showVal val="1"/>
            </c:dLbl>
            <c:dLbl>
              <c:idx val="1"/>
              <c:layout>
                <c:manualLayout>
                  <c:x val="-4.1968570497615074E-3"/>
                  <c:y val="4.0115038559397093E-3"/>
                </c:manualLayout>
              </c:layout>
              <c:showVal val="1"/>
            </c:dLbl>
            <c:dLbl>
              <c:idx val="2"/>
              <c:layout>
                <c:manualLayout>
                  <c:x val="-8.3937140995230339E-3"/>
                  <c:y val="1.2034511567818901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Sheet1!$C$239:$C$241</c:f>
              <c:numCache>
                <c:formatCode>#,##0</c:formatCode>
                <c:ptCount val="3"/>
                <c:pt idx="0">
                  <c:v>1414902</c:v>
                </c:pt>
                <c:pt idx="1">
                  <c:v>577996</c:v>
                </c:pt>
                <c:pt idx="2">
                  <c:v>836905</c:v>
                </c:pt>
              </c:numCache>
            </c:numRef>
          </c:val>
        </c:ser>
        <c:ser>
          <c:idx val="1"/>
          <c:order val="1"/>
          <c:tx>
            <c:strRef>
              <c:f>Sheet1!$D$238</c:f>
              <c:strCache>
                <c:ptCount val="1"/>
                <c:pt idx="0">
                  <c:v>2015թ. հունվար-օգոստոս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Sheet1!$D$239:$D$241</c:f>
              <c:numCache>
                <c:formatCode>#,##0</c:formatCode>
                <c:ptCount val="3"/>
                <c:pt idx="0">
                  <c:v>1022117</c:v>
                </c:pt>
                <c:pt idx="1">
                  <c:v>472587</c:v>
                </c:pt>
                <c:pt idx="2">
                  <c:v>549530</c:v>
                </c:pt>
              </c:numCache>
            </c:numRef>
          </c:val>
        </c:ser>
        <c:ser>
          <c:idx val="2"/>
          <c:order val="2"/>
          <c:tx>
            <c:strRef>
              <c:f>Sheet1!$E$238</c:f>
              <c:strCache>
                <c:ptCount val="1"/>
                <c:pt idx="0">
                  <c:v>2016թ. հունվար-օգոստոս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Sheet1!$E$239:$E$241</c:f>
              <c:numCache>
                <c:formatCode>#,##0</c:formatCode>
                <c:ptCount val="3"/>
                <c:pt idx="0">
                  <c:v>914372</c:v>
                </c:pt>
                <c:pt idx="1">
                  <c:v>484862</c:v>
                </c:pt>
                <c:pt idx="2">
                  <c:v>429509</c:v>
                </c:pt>
              </c:numCache>
            </c:numRef>
          </c:val>
        </c:ser>
        <c:ser>
          <c:idx val="3"/>
          <c:order val="3"/>
          <c:tx>
            <c:strRef>
              <c:f>Sheet1!$F$238</c:f>
              <c:strCache>
                <c:ptCount val="1"/>
                <c:pt idx="0">
                  <c:v>2017թ. հունվար-օգոստոս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Sheet1!$F$239:$F$241</c:f>
              <c:numCache>
                <c:formatCode>#,##0</c:formatCode>
                <c:ptCount val="3"/>
                <c:pt idx="0">
                  <c:v>1074391</c:v>
                </c:pt>
                <c:pt idx="1">
                  <c:v>604419</c:v>
                </c:pt>
                <c:pt idx="2">
                  <c:v>469972</c:v>
                </c:pt>
              </c:numCache>
            </c:numRef>
          </c:val>
        </c:ser>
        <c:dLbls>
          <c:showVal val="1"/>
        </c:dLbls>
        <c:overlap val="-25"/>
        <c:axId val="107975808"/>
        <c:axId val="107977344"/>
      </c:barChart>
      <c:catAx>
        <c:axId val="1079758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07977344"/>
        <c:crosses val="autoZero"/>
        <c:auto val="1"/>
        <c:lblAlgn val="ctr"/>
        <c:lblOffset val="100"/>
      </c:catAx>
      <c:valAx>
        <c:axId val="107977344"/>
        <c:scaling>
          <c:orientation val="minMax"/>
        </c:scaling>
        <c:delete val="1"/>
        <c:axPos val="l"/>
        <c:numFmt formatCode="#,##0" sourceLinked="1"/>
        <c:tickLblPos val="nextTo"/>
        <c:crossAx val="1079758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8123974421135272"/>
          <c:w val="0.99898845831265159"/>
          <c:h val="9.8582549326493962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700"/>
              <a:t>ՀՀ բանկերի միջոցով ֆիզիկական անձանց անունով արտերկրից ստացված և ՀՀ-ից ֆիզիկական անձանց կողմից արտերկիր իրականացված փոխանցումներ (մլն ՀՀ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1.7877994652086483E-2"/>
          <c:y val="0.35571379251364732"/>
          <c:w val="0.9687135093588487"/>
          <c:h val="0.53028049050651882"/>
        </c:manualLayout>
      </c:layout>
      <c:barChart>
        <c:barDir val="col"/>
        <c:grouping val="clustered"/>
        <c:ser>
          <c:idx val="0"/>
          <c:order val="0"/>
          <c:tx>
            <c:strRef>
              <c:f>Sheet1!$C$259</c:f>
              <c:strCache>
                <c:ptCount val="1"/>
                <c:pt idx="0">
                  <c:v>2014թ. հունվար-օգոստոս</c:v>
                </c:pt>
              </c:strCache>
            </c:strRef>
          </c:tx>
          <c:dLbls>
            <c:dLbl>
              <c:idx val="0"/>
              <c:layout>
                <c:manualLayout>
                  <c:x val="-8.9389973260432364E-3"/>
                  <c:y val="8.0156374356777152E-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Sheet1!$C$260:$C$262</c:f>
              <c:numCache>
                <c:formatCode>#,##0</c:formatCode>
                <c:ptCount val="3"/>
                <c:pt idx="0">
                  <c:v>580939</c:v>
                </c:pt>
                <c:pt idx="1">
                  <c:v>237559</c:v>
                </c:pt>
                <c:pt idx="2">
                  <c:v>343381</c:v>
                </c:pt>
              </c:numCache>
            </c:numRef>
          </c:val>
        </c:ser>
        <c:ser>
          <c:idx val="1"/>
          <c:order val="1"/>
          <c:tx>
            <c:strRef>
              <c:f>Sheet1!$D$259</c:f>
              <c:strCache>
                <c:ptCount val="1"/>
                <c:pt idx="0">
                  <c:v>2015թ. հունվար-օգոստոս</c:v>
                </c:pt>
              </c:strCache>
            </c:strRef>
          </c:tx>
          <c:dLbls>
            <c:dLbl>
              <c:idx val="0"/>
              <c:layout>
                <c:manualLayout>
                  <c:x val="-8.9389973260432538E-3"/>
                  <c:y val="8.015637435677684E-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Sheet1!$D$260:$D$262</c:f>
              <c:numCache>
                <c:formatCode>#,##0</c:formatCode>
                <c:ptCount val="3"/>
                <c:pt idx="0">
                  <c:v>487868</c:v>
                </c:pt>
                <c:pt idx="1">
                  <c:v>225584</c:v>
                </c:pt>
                <c:pt idx="2">
                  <c:v>262285</c:v>
                </c:pt>
              </c:numCache>
            </c:numRef>
          </c:val>
        </c:ser>
        <c:ser>
          <c:idx val="2"/>
          <c:order val="2"/>
          <c:tx>
            <c:strRef>
              <c:f>Sheet1!$E$259</c:f>
              <c:strCache>
                <c:ptCount val="1"/>
                <c:pt idx="0">
                  <c:v>2016թ. հունվար-օգոստոս</c:v>
                </c:pt>
              </c:strCache>
            </c:strRef>
          </c:tx>
          <c:dLbls>
            <c:dLbl>
              <c:idx val="0"/>
              <c:layout>
                <c:manualLayout>
                  <c:x val="-8.9389973260432538E-3"/>
                  <c:y val="8.015637435677684E-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Sheet1!$E$260:$E$262</c:f>
              <c:numCache>
                <c:formatCode>#,##0</c:formatCode>
                <c:ptCount val="3"/>
                <c:pt idx="0">
                  <c:v>439804</c:v>
                </c:pt>
                <c:pt idx="1">
                  <c:v>233718</c:v>
                </c:pt>
                <c:pt idx="2">
                  <c:v>206089</c:v>
                </c:pt>
              </c:numCache>
            </c:numRef>
          </c:val>
        </c:ser>
        <c:ser>
          <c:idx val="3"/>
          <c:order val="3"/>
          <c:tx>
            <c:strRef>
              <c:f>Sheet1!$F$259</c:f>
              <c:strCache>
                <c:ptCount val="1"/>
                <c:pt idx="0">
                  <c:v>2017թ. հունվար-օգոստոս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Sheet1!$F$260:$F$262</c:f>
              <c:numCache>
                <c:formatCode>#,##0</c:formatCode>
                <c:ptCount val="3"/>
                <c:pt idx="0">
                  <c:v>518391</c:v>
                </c:pt>
                <c:pt idx="1">
                  <c:v>291895</c:v>
                </c:pt>
                <c:pt idx="2">
                  <c:v>226498</c:v>
                </c:pt>
              </c:numCache>
            </c:numRef>
          </c:val>
        </c:ser>
        <c:dLbls>
          <c:showVal val="1"/>
        </c:dLbls>
        <c:overlap val="-25"/>
        <c:axId val="108103936"/>
        <c:axId val="108134400"/>
      </c:barChart>
      <c:catAx>
        <c:axId val="1081039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08134400"/>
        <c:crosses val="autoZero"/>
        <c:auto val="1"/>
        <c:lblAlgn val="ctr"/>
        <c:lblOffset val="100"/>
      </c:catAx>
      <c:valAx>
        <c:axId val="108134400"/>
        <c:scaling>
          <c:orientation val="minMax"/>
        </c:scaling>
        <c:delete val="1"/>
        <c:axPos val="l"/>
        <c:numFmt formatCode="#,##0" sourceLinked="1"/>
        <c:tickLblPos val="nextTo"/>
        <c:crossAx val="1081039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8908888710763638"/>
          <c:w val="0.98343505255356234"/>
          <c:h val="0.10249980592058973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>
                <a:latin typeface="GHEA Grapalat" pitchFamily="50" charset="0"/>
              </a:rPr>
              <a:t>Պետական բյուջեի եկամուտները, ծախսերը և պակասուրդը/հավելուրդը, ընթացիք գներով, մլն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35169403137321936"/>
          <c:w val="1"/>
          <c:h val="0.58380496641671176"/>
        </c:manualLayout>
      </c:layout>
      <c:barChart>
        <c:barDir val="col"/>
        <c:grouping val="clustered"/>
        <c:ser>
          <c:idx val="0"/>
          <c:order val="0"/>
          <c:tx>
            <c:strRef>
              <c:f>Sheet1!$B$282</c:f>
              <c:strCache>
                <c:ptCount val="1"/>
                <c:pt idx="0">
                  <c:v>Պետական բյուջեի եկամուտներ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Sheet1!$C$281:$F$281</c:f>
              <c:strCache>
                <c:ptCount val="4"/>
                <c:pt idx="0">
                  <c:v>2014թ. հունվար-օգոստոս</c:v>
                </c:pt>
                <c:pt idx="1">
                  <c:v>2015թ. հունվար-օգոստոս</c:v>
                </c:pt>
                <c:pt idx="2">
                  <c:v>2016թ. հունվար-օգոստոս</c:v>
                </c:pt>
                <c:pt idx="3">
                  <c:v>2017թ. հունվար-օգոստոս</c:v>
                </c:pt>
              </c:strCache>
            </c:strRef>
          </c:cat>
          <c:val>
            <c:numRef>
              <c:f>Sheet1!$C$282:$F$282</c:f>
              <c:numCache>
                <c:formatCode>#,##0.00</c:formatCode>
                <c:ptCount val="4"/>
                <c:pt idx="0">
                  <c:v>726710.2</c:v>
                </c:pt>
                <c:pt idx="1">
                  <c:v>740384.7</c:v>
                </c:pt>
                <c:pt idx="2">
                  <c:v>742174.9</c:v>
                </c:pt>
                <c:pt idx="3">
                  <c:v>779678.7</c:v>
                </c:pt>
              </c:numCache>
            </c:numRef>
          </c:val>
        </c:ser>
        <c:ser>
          <c:idx val="1"/>
          <c:order val="1"/>
          <c:tx>
            <c:strRef>
              <c:f>Sheet1!$B$283</c:f>
              <c:strCache>
                <c:ptCount val="1"/>
                <c:pt idx="0">
                  <c:v>Պետական բյուջեի ծախսեր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Sheet1!$C$281:$F$281</c:f>
              <c:strCache>
                <c:ptCount val="4"/>
                <c:pt idx="0">
                  <c:v>2014թ. հունվար-օգոստոս</c:v>
                </c:pt>
                <c:pt idx="1">
                  <c:v>2015թ. հունվար-օգոստոս</c:v>
                </c:pt>
                <c:pt idx="2">
                  <c:v>2016թ. հունվար-օգոստոս</c:v>
                </c:pt>
                <c:pt idx="3">
                  <c:v>2017թ. հունվար-օգոստոս</c:v>
                </c:pt>
              </c:strCache>
            </c:strRef>
          </c:cat>
          <c:val>
            <c:numRef>
              <c:f>Sheet1!$C$283:$F$283</c:f>
              <c:numCache>
                <c:formatCode>#,##0.00</c:formatCode>
                <c:ptCount val="4"/>
                <c:pt idx="0">
                  <c:v>720742.1</c:v>
                </c:pt>
                <c:pt idx="1">
                  <c:v>837423.2</c:v>
                </c:pt>
                <c:pt idx="2">
                  <c:v>848226.2</c:v>
                </c:pt>
                <c:pt idx="3">
                  <c:v>851332.8</c:v>
                </c:pt>
              </c:numCache>
            </c:numRef>
          </c:val>
        </c:ser>
        <c:ser>
          <c:idx val="2"/>
          <c:order val="2"/>
          <c:tx>
            <c:strRef>
              <c:f>Sheet1!$B$284</c:f>
              <c:strCache>
                <c:ptCount val="1"/>
                <c:pt idx="0">
                  <c:v>Պակասուրդ (-)/հավելուրդ (+)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0.1746704299073501"/>
                </c:manualLayout>
              </c:layout>
              <c:showVal val="1"/>
            </c:dLbl>
            <c:dLbl>
              <c:idx val="2"/>
              <c:layout>
                <c:manualLayout>
                  <c:x val="-2.7212983378652592E-3"/>
                  <c:y val="0.16635279038795239"/>
                </c:manualLayout>
              </c:layout>
              <c:showVal val="1"/>
            </c:dLbl>
            <c:dLbl>
              <c:idx val="3"/>
              <c:layout>
                <c:manualLayout>
                  <c:x val="-2.7212983378652592E-3"/>
                  <c:y val="0.170511610147651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Sheet1!$C$281:$F$281</c:f>
              <c:strCache>
                <c:ptCount val="4"/>
                <c:pt idx="0">
                  <c:v>2014թ. հունվար-օգոստոս</c:v>
                </c:pt>
                <c:pt idx="1">
                  <c:v>2015թ. հունվար-օգոստոս</c:v>
                </c:pt>
                <c:pt idx="2">
                  <c:v>2016թ. հունվար-օգոստոս</c:v>
                </c:pt>
                <c:pt idx="3">
                  <c:v>2017թ. հունվար-օգոստոս</c:v>
                </c:pt>
              </c:strCache>
            </c:strRef>
          </c:cat>
          <c:val>
            <c:numRef>
              <c:f>Sheet1!$C$284:$F$284</c:f>
              <c:numCache>
                <c:formatCode>#,##0.00</c:formatCode>
                <c:ptCount val="4"/>
                <c:pt idx="0">
                  <c:v>5968.1</c:v>
                </c:pt>
                <c:pt idx="1">
                  <c:v>-97038.5</c:v>
                </c:pt>
                <c:pt idx="2">
                  <c:v>-106051.3</c:v>
                </c:pt>
                <c:pt idx="3">
                  <c:v>-71654.100000000006</c:v>
                </c:pt>
              </c:numCache>
            </c:numRef>
          </c:val>
        </c:ser>
        <c:dLbls>
          <c:showVal val="1"/>
        </c:dLbls>
        <c:overlap val="-25"/>
        <c:axId val="108161280"/>
        <c:axId val="108175360"/>
      </c:barChart>
      <c:catAx>
        <c:axId val="1081612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08175360"/>
        <c:crosses val="autoZero"/>
        <c:auto val="1"/>
        <c:lblAlgn val="ctr"/>
        <c:lblOffset val="100"/>
      </c:catAx>
      <c:valAx>
        <c:axId val="108175360"/>
        <c:scaling>
          <c:orientation val="minMax"/>
        </c:scaling>
        <c:delete val="1"/>
        <c:axPos val="l"/>
        <c:numFmt formatCode="#,##0.00" sourceLinked="1"/>
        <c:tickLblPos val="nextTo"/>
        <c:crossAx val="1081612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6177808865228371"/>
          <c:w val="1"/>
          <c:h val="6.5151349929971361E-2"/>
        </c:manualLayout>
      </c:layout>
      <c:txPr>
        <a:bodyPr/>
        <a:lstStyle/>
        <a:p>
          <a:pPr>
            <a:defRPr sz="75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>
                <a:latin typeface="GHEA Grapalat" pitchFamily="50" charset="0"/>
              </a:rPr>
              <a:t>Պետական բյուջեի պակասուրդի/հավելուրդի</a:t>
            </a:r>
            <a:r>
              <a:rPr lang="en-US" sz="900" baseline="0">
                <a:latin typeface="GHEA Grapalat" pitchFamily="50" charset="0"/>
              </a:rPr>
              <a:t> ֆինասավորման ներքին և արտաքին աղբյուրները, ընթացիք գներով, մլն դրամ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1.0767351863069817E-2"/>
          <c:y val="0.23887212808116964"/>
          <c:w val="0.98115713423962758"/>
          <c:h val="0.73705943935835061"/>
        </c:manualLayout>
      </c:layout>
      <c:barChart>
        <c:barDir val="col"/>
        <c:grouping val="stacked"/>
        <c:ser>
          <c:idx val="0"/>
          <c:order val="0"/>
          <c:tx>
            <c:strRef>
              <c:f>Sheet1!$B$304</c:f>
              <c:strCache>
                <c:ptCount val="1"/>
                <c:pt idx="0">
                  <c:v>    ֆինանսավորման ներքին աղբյուրներ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2.911173831789166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Sheet1!$C$303:$F$303</c:f>
              <c:strCache>
                <c:ptCount val="4"/>
                <c:pt idx="0">
                  <c:v>2014թ. հունվար-օգոստոս</c:v>
                </c:pt>
                <c:pt idx="1">
                  <c:v>2015թ. հունվար-օգոստոս</c:v>
                </c:pt>
                <c:pt idx="2">
                  <c:v>2016թ. հունվար-օգոստոս</c:v>
                </c:pt>
                <c:pt idx="3">
                  <c:v>2017թ. հունվար-օգոստոս</c:v>
                </c:pt>
              </c:strCache>
            </c:strRef>
          </c:cat>
          <c:val>
            <c:numRef>
              <c:f>Sheet1!$C$304:$F$304</c:f>
              <c:numCache>
                <c:formatCode>#,##0.00</c:formatCode>
                <c:ptCount val="4"/>
                <c:pt idx="0">
                  <c:v>21551.5</c:v>
                </c:pt>
                <c:pt idx="1">
                  <c:v>-23966.1</c:v>
                </c:pt>
                <c:pt idx="2">
                  <c:v>117411.2</c:v>
                </c:pt>
                <c:pt idx="3">
                  <c:v>92198.6</c:v>
                </c:pt>
              </c:numCache>
            </c:numRef>
          </c:val>
        </c:ser>
        <c:ser>
          <c:idx val="1"/>
          <c:order val="1"/>
          <c:tx>
            <c:strRef>
              <c:f>Sheet1!$B$305</c:f>
              <c:strCache>
                <c:ptCount val="1"/>
                <c:pt idx="0">
                  <c:v>    ֆինանսավորման արտաքին աղբյուրներ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3.3270558077590481E-2"/>
                </c:manualLayout>
              </c:layout>
              <c:showVal val="1"/>
            </c:dLbl>
            <c:dLbl>
              <c:idx val="3"/>
              <c:layout>
                <c:manualLayout>
                  <c:x val="-2.6918379657674568E-3"/>
                  <c:y val="2.079442626461683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Sheet1!$C$303:$F$303</c:f>
              <c:strCache>
                <c:ptCount val="4"/>
                <c:pt idx="0">
                  <c:v>2014թ. հունվար-օգոստոս</c:v>
                </c:pt>
                <c:pt idx="1">
                  <c:v>2015թ. հունվար-օգոստոս</c:v>
                </c:pt>
                <c:pt idx="2">
                  <c:v>2016թ. հունվար-օգոստոս</c:v>
                </c:pt>
                <c:pt idx="3">
                  <c:v>2017թ. հունվար-օգոստոս</c:v>
                </c:pt>
              </c:strCache>
            </c:strRef>
          </c:cat>
          <c:val>
            <c:numRef>
              <c:f>Sheet1!$C$305:$F$305</c:f>
              <c:numCache>
                <c:formatCode>#,##0.00</c:formatCode>
                <c:ptCount val="4"/>
                <c:pt idx="0">
                  <c:v>-27519.59999999998</c:v>
                </c:pt>
                <c:pt idx="1">
                  <c:v>121004.6</c:v>
                </c:pt>
                <c:pt idx="2">
                  <c:v>-11359.9</c:v>
                </c:pt>
                <c:pt idx="3">
                  <c:v>-20544.5</c:v>
                </c:pt>
              </c:numCache>
            </c:numRef>
          </c:val>
        </c:ser>
        <c:dLbls>
          <c:showVal val="1"/>
        </c:dLbls>
        <c:gapWidth val="95"/>
        <c:overlap val="100"/>
        <c:axId val="108188800"/>
        <c:axId val="108190336"/>
      </c:barChart>
      <c:catAx>
        <c:axId val="1081888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08190336"/>
        <c:crosses val="autoZero"/>
        <c:auto val="1"/>
        <c:lblAlgn val="ctr"/>
        <c:lblOffset val="100"/>
      </c:catAx>
      <c:valAx>
        <c:axId val="108190336"/>
        <c:scaling>
          <c:orientation val="minMax"/>
        </c:scaling>
        <c:delete val="1"/>
        <c:axPos val="l"/>
        <c:numFmt formatCode="#,##0.00" sourceLinked="1"/>
        <c:tickLblPos val="nextTo"/>
        <c:crossAx val="1081888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4930162937318717"/>
          <c:w val="0.98884010609656792"/>
          <c:h val="8.9570498707982601E-2"/>
        </c:manualLayout>
      </c:layout>
      <c:txPr>
        <a:bodyPr/>
        <a:lstStyle/>
        <a:p>
          <a:pPr>
            <a:defRPr sz="8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Արդյունաբերական արտադրանքի, գյուղատնտեսության համախառն արտադրանքի և իրականացված շինարարության ծավալները (ընթացիկ գներով, մլն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33613553514144101"/>
          <c:w val="1"/>
          <c:h val="0.49438137941090743"/>
        </c:manualLayout>
      </c:layout>
      <c:barChart>
        <c:barDir val="col"/>
        <c:grouping val="clustered"/>
        <c:ser>
          <c:idx val="0"/>
          <c:order val="0"/>
          <c:tx>
            <c:strRef>
              <c:f>Sheet1!$C$24</c:f>
              <c:strCache>
                <c:ptCount val="1"/>
                <c:pt idx="0">
                  <c:v>2014թ. հունվար-օգոստոս</c:v>
                </c:pt>
              </c:strCache>
            </c:strRef>
          </c:tx>
          <c:dLbls>
            <c:dLbl>
              <c:idx val="0"/>
              <c:layout>
                <c:manualLayout>
                  <c:x val="-8.1328042101030083E-3"/>
                  <c:y val="4.6296296296296337E-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Sheet1!$C$25:$C$27</c:f>
              <c:numCache>
                <c:formatCode>#,##0.0</c:formatCode>
                <c:ptCount val="3"/>
                <c:pt idx="0">
                  <c:v>799214.4</c:v>
                </c:pt>
                <c:pt idx="1">
                  <c:v>482935.6</c:v>
                </c:pt>
                <c:pt idx="2">
                  <c:v>198373</c:v>
                </c:pt>
              </c:numCache>
            </c:numRef>
          </c:val>
        </c:ser>
        <c:ser>
          <c:idx val="1"/>
          <c:order val="1"/>
          <c:tx>
            <c:strRef>
              <c:f>Sheet1!$D$24</c:f>
              <c:strCache>
                <c:ptCount val="1"/>
                <c:pt idx="0">
                  <c:v>2015թ. հունվար-օգոստոս</c:v>
                </c:pt>
              </c:strCache>
            </c:strRef>
          </c:tx>
          <c:dLbls>
            <c:dLbl>
              <c:idx val="0"/>
              <c:layout>
                <c:manualLayout>
                  <c:x val="2.7109347367010026E-3"/>
                  <c:y val="1.8518518518518535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Sheet1!$D$25:$D$27</c:f>
              <c:numCache>
                <c:formatCode>#,##0.0</c:formatCode>
                <c:ptCount val="3"/>
                <c:pt idx="0">
                  <c:v>827878.9</c:v>
                </c:pt>
                <c:pt idx="1">
                  <c:v>504873</c:v>
                </c:pt>
                <c:pt idx="2">
                  <c:v>211043.20000000001</c:v>
                </c:pt>
              </c:numCache>
            </c:numRef>
          </c:val>
        </c:ser>
        <c:ser>
          <c:idx val="2"/>
          <c:order val="2"/>
          <c:tx>
            <c:strRef>
              <c:f>Sheet1!$E$24</c:f>
              <c:strCache>
                <c:ptCount val="1"/>
                <c:pt idx="0">
                  <c:v>2016թ. հունվար-օգոստոս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6851815398075274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Sheet1!$E$25:$E$27</c:f>
              <c:numCache>
                <c:formatCode>#,##0.0</c:formatCode>
                <c:ptCount val="3"/>
                <c:pt idx="0">
                  <c:v>898717</c:v>
                </c:pt>
                <c:pt idx="1">
                  <c:v>509905</c:v>
                </c:pt>
                <c:pt idx="2">
                  <c:v>196731.8</c:v>
                </c:pt>
              </c:numCache>
            </c:numRef>
          </c:val>
        </c:ser>
        <c:ser>
          <c:idx val="3"/>
          <c:order val="3"/>
          <c:tx>
            <c:strRef>
              <c:f>Sheet1!$F$24</c:f>
              <c:strCache>
                <c:ptCount val="1"/>
                <c:pt idx="0">
                  <c:v>2017թ. հունվար-օգոստոս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6388888888888951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Sheet1!$F$25:$F$27</c:f>
              <c:numCache>
                <c:formatCode>#,##0.0</c:formatCode>
                <c:ptCount val="3"/>
                <c:pt idx="0">
                  <c:v>1038737.6</c:v>
                </c:pt>
                <c:pt idx="1">
                  <c:v>459904.3</c:v>
                </c:pt>
                <c:pt idx="2">
                  <c:v>179927</c:v>
                </c:pt>
              </c:numCache>
            </c:numRef>
          </c:val>
        </c:ser>
        <c:dLbls>
          <c:showVal val="1"/>
        </c:dLbls>
        <c:overlap val="-25"/>
        <c:axId val="82172544"/>
        <c:axId val="86140032"/>
      </c:barChart>
      <c:catAx>
        <c:axId val="821725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86140032"/>
        <c:crosses val="autoZero"/>
        <c:auto val="1"/>
        <c:lblAlgn val="ctr"/>
        <c:lblOffset val="100"/>
      </c:catAx>
      <c:valAx>
        <c:axId val="86140032"/>
        <c:scaling>
          <c:orientation val="minMax"/>
        </c:scaling>
        <c:delete val="1"/>
        <c:axPos val="l"/>
        <c:numFmt formatCode="#,##0.0" sourceLinked="1"/>
        <c:tickLblPos val="nextTo"/>
        <c:crossAx val="821725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7.0299020370646767E-2"/>
          <c:y val="0.22615740740740756"/>
          <c:w val="0.87024548474608265"/>
          <c:h val="0.10534849810440347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Առևտրի շրջանառություն և այլ ծառայություններ (ընթացիկ գներով, մլն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29085010207057482"/>
          <c:w val="0.9972118318440415"/>
          <c:h val="0.57282662583843691"/>
        </c:manualLayout>
      </c:layout>
      <c:barChart>
        <c:barDir val="col"/>
        <c:grouping val="clustered"/>
        <c:ser>
          <c:idx val="0"/>
          <c:order val="0"/>
          <c:tx>
            <c:strRef>
              <c:f>Sheet1!$C$46</c:f>
              <c:strCache>
                <c:ptCount val="1"/>
                <c:pt idx="0">
                  <c:v>2014թ. հունվար-օգոստոս</c:v>
                </c:pt>
              </c:strCache>
            </c:strRef>
          </c:tx>
          <c:dLbls>
            <c:dLbl>
              <c:idx val="0"/>
              <c:layout>
                <c:manualLayout>
                  <c:x val="-2.7881681559582755E-3"/>
                  <c:y val="0.2777777777777781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Sheet1!$C$47:$C$48</c:f>
              <c:numCache>
                <c:formatCode>#,##0.0</c:formatCode>
                <c:ptCount val="2"/>
                <c:pt idx="0">
                  <c:v>1423617.4</c:v>
                </c:pt>
                <c:pt idx="1">
                  <c:v>695765.4</c:v>
                </c:pt>
              </c:numCache>
            </c:numRef>
          </c:val>
        </c:ser>
        <c:ser>
          <c:idx val="1"/>
          <c:order val="1"/>
          <c:tx>
            <c:strRef>
              <c:f>Sheet1!$D$46</c:f>
              <c:strCache>
                <c:ptCount val="1"/>
                <c:pt idx="0">
                  <c:v>2015թ. հունվար-օգոստոս</c:v>
                </c:pt>
              </c:strCache>
            </c:strRef>
          </c:tx>
          <c:dLbls>
            <c:dLbl>
              <c:idx val="0"/>
              <c:layout>
                <c:manualLayout>
                  <c:x val="-2.1954079968175417E-7"/>
                  <c:y val="0.2777777777777781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Sheet1!$D$47:$D$48</c:f>
              <c:numCache>
                <c:formatCode>#,##0.0</c:formatCode>
                <c:ptCount val="2"/>
                <c:pt idx="0">
                  <c:v>1409727.4</c:v>
                </c:pt>
                <c:pt idx="1">
                  <c:v>742567.2</c:v>
                </c:pt>
              </c:numCache>
            </c:numRef>
          </c:val>
        </c:ser>
        <c:ser>
          <c:idx val="2"/>
          <c:order val="2"/>
          <c:tx>
            <c:strRef>
              <c:f>Sheet1!$E$46</c:f>
              <c:strCache>
                <c:ptCount val="1"/>
                <c:pt idx="0">
                  <c:v>2016թ. հունվար-օգոստոս</c:v>
                </c:pt>
              </c:strCache>
            </c:strRef>
          </c:tx>
          <c:dLbls>
            <c:dLbl>
              <c:idx val="0"/>
              <c:layout>
                <c:manualLayout>
                  <c:x val="2.7881681559582755E-3"/>
                  <c:y val="0.27314814814814814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Sheet1!$E$47:$E$48</c:f>
              <c:numCache>
                <c:formatCode>#,##0.0</c:formatCode>
                <c:ptCount val="2"/>
                <c:pt idx="0">
                  <c:v>1365728</c:v>
                </c:pt>
                <c:pt idx="1">
                  <c:v>802115.3</c:v>
                </c:pt>
              </c:numCache>
            </c:numRef>
          </c:val>
        </c:ser>
        <c:ser>
          <c:idx val="3"/>
          <c:order val="3"/>
          <c:tx>
            <c:strRef>
              <c:f>Sheet1!$F$46</c:f>
              <c:strCache>
                <c:ptCount val="1"/>
                <c:pt idx="0">
                  <c:v>2017թ. հունվար-օգոստոս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33796296296296396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Sheet1!$F$47:$F$48</c:f>
              <c:numCache>
                <c:formatCode>#,##0.0</c:formatCode>
                <c:ptCount val="2"/>
                <c:pt idx="0" formatCode="#,##0.0;[Red]#,##0.0">
                  <c:v>1565012.7</c:v>
                </c:pt>
                <c:pt idx="1">
                  <c:v>904143.3</c:v>
                </c:pt>
              </c:numCache>
            </c:numRef>
          </c:val>
        </c:ser>
        <c:dLbls>
          <c:showVal val="1"/>
        </c:dLbls>
        <c:overlap val="-25"/>
        <c:axId val="90152320"/>
        <c:axId val="90170496"/>
      </c:barChart>
      <c:catAx>
        <c:axId val="901523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90170496"/>
        <c:crosses val="autoZero"/>
        <c:auto val="1"/>
        <c:lblAlgn val="ctr"/>
        <c:lblOffset val="100"/>
      </c:catAx>
      <c:valAx>
        <c:axId val="90170496"/>
        <c:scaling>
          <c:orientation val="minMax"/>
        </c:scaling>
        <c:delete val="1"/>
        <c:axPos val="l"/>
        <c:numFmt formatCode="#,##0.0" sourceLinked="1"/>
        <c:tickLblPos val="nextTo"/>
        <c:crossAx val="901523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6.8339977369734392E-2"/>
          <c:y val="0.16620370370370369"/>
          <c:w val="0.88283722235223916"/>
          <c:h val="0.10149825021872266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Իրական աճը  նախորդ տարվա նույն  ժամանակահատվածի նկատմաբ /%/</a:t>
            </a:r>
          </a:p>
        </c:rich>
      </c:tx>
    </c:title>
    <c:plotArea>
      <c:layout>
        <c:manualLayout>
          <c:layoutTarget val="inner"/>
          <c:xMode val="edge"/>
          <c:yMode val="edge"/>
          <c:x val="5.4181973785310585E-3"/>
          <c:y val="0.30473899095946394"/>
          <c:w val="0.99458180262146889"/>
          <c:h val="0.44162292213473331"/>
        </c:manualLayout>
      </c:layout>
      <c:barChart>
        <c:barDir val="col"/>
        <c:grouping val="clustered"/>
        <c:ser>
          <c:idx val="0"/>
          <c:order val="0"/>
          <c:tx>
            <c:strRef>
              <c:f>Sheet1!$C$69</c:f>
              <c:strCache>
                <c:ptCount val="1"/>
                <c:pt idx="0">
                  <c:v>2014թ. հունվար-օգոստոս</c:v>
                </c:pt>
              </c:strCache>
            </c:strRef>
          </c:tx>
          <c:dLbls>
            <c:dLbl>
              <c:idx val="1"/>
              <c:layout>
                <c:manualLayout>
                  <c:x val="-2.7090986892655787E-3"/>
                  <c:y val="1.388888888888886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Sheet1!$C$70:$C$72</c:f>
              <c:numCache>
                <c:formatCode>0.0</c:formatCode>
                <c:ptCount val="3"/>
                <c:pt idx="0" formatCode="General">
                  <c:v>104.5</c:v>
                </c:pt>
                <c:pt idx="1">
                  <c:v>104.9</c:v>
                </c:pt>
                <c:pt idx="2">
                  <c:v>100.4</c:v>
                </c:pt>
              </c:numCache>
            </c:numRef>
          </c:val>
        </c:ser>
        <c:ser>
          <c:idx val="1"/>
          <c:order val="1"/>
          <c:tx>
            <c:strRef>
              <c:f>Sheet1!$D$69</c:f>
              <c:strCache>
                <c:ptCount val="1"/>
                <c:pt idx="0">
                  <c:v>2015թ. հունվար-օգոստոս</c:v>
                </c:pt>
              </c:strCache>
            </c:strRef>
          </c:tx>
          <c:dLbls>
            <c:dLbl>
              <c:idx val="0"/>
              <c:layout>
                <c:manualLayout>
                  <c:x val="2.7090986892655293E-3"/>
                  <c:y val="1.851851851851858E-2"/>
                </c:manualLayout>
              </c:layout>
              <c:showVal val="1"/>
            </c:dLbl>
            <c:dLbl>
              <c:idx val="2"/>
              <c:layout>
                <c:manualLayout>
                  <c:x val="-9.9332471109220526E-17"/>
                  <c:y val="1.8518518518518535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Sheet1!$D$70:$D$72</c:f>
              <c:numCache>
                <c:formatCode>0.0</c:formatCode>
                <c:ptCount val="3"/>
                <c:pt idx="0">
                  <c:v>104.2</c:v>
                </c:pt>
                <c:pt idx="1">
                  <c:v>113.5</c:v>
                </c:pt>
                <c:pt idx="2">
                  <c:v>100.2</c:v>
                </c:pt>
              </c:numCache>
            </c:numRef>
          </c:val>
        </c:ser>
        <c:ser>
          <c:idx val="2"/>
          <c:order val="2"/>
          <c:tx>
            <c:strRef>
              <c:f>Sheet1!$E$69</c:f>
              <c:strCache>
                <c:ptCount val="1"/>
                <c:pt idx="0">
                  <c:v>2016թ. հունվար-օգոստոս</c:v>
                </c:pt>
              </c:strCache>
            </c:strRef>
          </c:tx>
          <c:dLbls>
            <c:dLbl>
              <c:idx val="0"/>
              <c:layout>
                <c:manualLayout>
                  <c:x val="2.7090986892655293E-3"/>
                  <c:y val="1.3888888888888907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8518518518518535E-2"/>
                </c:manualLayout>
              </c:layout>
              <c:showVal val="1"/>
            </c:dLbl>
            <c:dLbl>
              <c:idx val="2"/>
              <c:layout>
                <c:manualLayout>
                  <c:x val="9.9332471109220526E-17"/>
                  <c:y val="1.388888888888886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Sheet1!$E$70:$E$72</c:f>
              <c:numCache>
                <c:formatCode>0.0</c:formatCode>
                <c:ptCount val="3"/>
                <c:pt idx="0" formatCode="#,##0.0;[Red]#,##0.0">
                  <c:v>102.4</c:v>
                </c:pt>
                <c:pt idx="1">
                  <c:v>104.1</c:v>
                </c:pt>
                <c:pt idx="2">
                  <c:v>92.5</c:v>
                </c:pt>
              </c:numCache>
            </c:numRef>
          </c:val>
        </c:ser>
        <c:ser>
          <c:idx val="3"/>
          <c:order val="3"/>
          <c:tx>
            <c:strRef>
              <c:f>Sheet1!$F$69</c:f>
              <c:strCache>
                <c:ptCount val="1"/>
                <c:pt idx="0">
                  <c:v>2017թ. հունվար-օգոստոս</c:v>
                </c:pt>
              </c:strCache>
            </c:strRef>
          </c:tx>
          <c:dLbls>
            <c:dLbl>
              <c:idx val="0"/>
              <c:layout>
                <c:manualLayout>
                  <c:x val="2.7090986892655293E-3"/>
                  <c:y val="1.851851851851858E-2"/>
                </c:manualLayout>
              </c:layout>
              <c:showVal val="1"/>
            </c:dLbl>
            <c:dLbl>
              <c:idx val="1"/>
              <c:layout>
                <c:manualLayout>
                  <c:x val="2.7090986892655293E-3"/>
                  <c:y val="1.3888888888888907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9.259259259259236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Sheet1!$F$70:$F$72</c:f>
              <c:numCache>
                <c:formatCode>0.0</c:formatCode>
                <c:ptCount val="3"/>
                <c:pt idx="0">
                  <c:v>105.5</c:v>
                </c:pt>
                <c:pt idx="1">
                  <c:v>90.6</c:v>
                </c:pt>
                <c:pt idx="2">
                  <c:v>92</c:v>
                </c:pt>
              </c:numCache>
            </c:numRef>
          </c:val>
        </c:ser>
        <c:dLbls>
          <c:showVal val="1"/>
        </c:dLbls>
        <c:overlap val="-25"/>
        <c:axId val="106495360"/>
        <c:axId val="106572032"/>
      </c:barChart>
      <c:catAx>
        <c:axId val="1064953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06572032"/>
        <c:crosses val="autoZero"/>
        <c:auto val="1"/>
        <c:lblAlgn val="ctr"/>
        <c:lblOffset val="100"/>
      </c:catAx>
      <c:valAx>
        <c:axId val="106572032"/>
        <c:scaling>
          <c:orientation val="minMax"/>
        </c:scaling>
        <c:delete val="1"/>
        <c:axPos val="l"/>
        <c:numFmt formatCode="General" sourceLinked="1"/>
        <c:tickLblPos val="nextTo"/>
        <c:crossAx val="1064953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078130832828133E-2"/>
          <c:y val="0.1523148148148149"/>
          <c:w val="0.88760098858637571"/>
          <c:h val="0.10149825021872266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Իրական աճը  նախորդ տարվա նույն ժամանակաշրջանի նկատմամբ /%/</a:t>
            </a:r>
          </a:p>
        </c:rich>
      </c:tx>
    </c:title>
    <c:plotArea>
      <c:layout>
        <c:manualLayout>
          <c:layoutTarget val="inner"/>
          <c:xMode val="edge"/>
          <c:yMode val="edge"/>
          <c:x val="1.11809923130678E-2"/>
          <c:y val="0.26770195392242641"/>
          <c:w val="0.98881900768693221"/>
          <c:h val="0.57745625546806645"/>
        </c:manualLayout>
      </c:layout>
      <c:barChart>
        <c:barDir val="col"/>
        <c:grouping val="clustered"/>
        <c:ser>
          <c:idx val="0"/>
          <c:order val="0"/>
          <c:tx>
            <c:strRef>
              <c:f>Sheet1!$C$93</c:f>
              <c:strCache>
                <c:ptCount val="1"/>
                <c:pt idx="0">
                  <c:v>2014թ. հունվար-օգոստոս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1.8518518518518535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Sheet1!$C$94:$C$95</c:f>
              <c:numCache>
                <c:formatCode>0.0</c:formatCode>
                <c:ptCount val="2"/>
                <c:pt idx="0" formatCode="0.0;[Red]0.0">
                  <c:v>105.7</c:v>
                </c:pt>
                <c:pt idx="1">
                  <c:v>106.2</c:v>
                </c:pt>
              </c:numCache>
            </c:numRef>
          </c:val>
        </c:ser>
        <c:ser>
          <c:idx val="1"/>
          <c:order val="1"/>
          <c:tx>
            <c:strRef>
              <c:f>Sheet1!$D$93</c:f>
              <c:strCache>
                <c:ptCount val="1"/>
                <c:pt idx="0">
                  <c:v>2015թ. հունվար-օգոստոս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2592592592591842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9.2592592592592778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Sheet1!$D$94:$D$95</c:f>
              <c:numCache>
                <c:formatCode>0.0</c:formatCode>
                <c:ptCount val="2"/>
                <c:pt idx="0" formatCode="0.0;[Red]0.0">
                  <c:v>94.6</c:v>
                </c:pt>
                <c:pt idx="1">
                  <c:v>102.2</c:v>
                </c:pt>
              </c:numCache>
            </c:numRef>
          </c:val>
        </c:ser>
        <c:ser>
          <c:idx val="2"/>
          <c:order val="2"/>
          <c:tx>
            <c:strRef>
              <c:f>Sheet1!$E$93</c:f>
              <c:strCache>
                <c:ptCount val="1"/>
                <c:pt idx="0">
                  <c:v>2016թ. հունվար-օգոստոս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2592592592592778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851851851851849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Sheet1!$E$94:$E$95</c:f>
              <c:numCache>
                <c:formatCode>0.0</c:formatCode>
                <c:ptCount val="2"/>
                <c:pt idx="0" formatCode="0.0;[Red]0.0">
                  <c:v>99.6</c:v>
                </c:pt>
                <c:pt idx="1">
                  <c:v>108</c:v>
                </c:pt>
              </c:numCache>
            </c:numRef>
          </c:val>
        </c:ser>
        <c:ser>
          <c:idx val="3"/>
          <c:order val="3"/>
          <c:tx>
            <c:strRef>
              <c:f>Sheet1!$F$93</c:f>
              <c:strCache>
                <c:ptCount val="1"/>
                <c:pt idx="0">
                  <c:v>2017թ. հունվար-օգոստոս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2592592592592778E-3"/>
                </c:manualLayout>
              </c:layout>
              <c:showVal val="1"/>
            </c:dLbl>
            <c:dLbl>
              <c:idx val="1"/>
              <c:layout>
                <c:manualLayout>
                  <c:x val="2.7952480782669487E-3"/>
                  <c:y val="9.2592592592592778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Sheet1!$F$94:$F$95</c:f>
              <c:numCache>
                <c:formatCode>0.0</c:formatCode>
                <c:ptCount val="2"/>
                <c:pt idx="0" formatCode="0.0;[Red]0.0">
                  <c:v>112.3</c:v>
                </c:pt>
                <c:pt idx="1">
                  <c:v>112.4</c:v>
                </c:pt>
              </c:numCache>
            </c:numRef>
          </c:val>
        </c:ser>
        <c:dLbls>
          <c:showVal val="1"/>
        </c:dLbls>
        <c:overlap val="-25"/>
        <c:axId val="106834560"/>
        <c:axId val="106934656"/>
      </c:barChart>
      <c:catAx>
        <c:axId val="1068345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06934656"/>
        <c:crosses val="autoZero"/>
        <c:auto val="1"/>
        <c:lblAlgn val="ctr"/>
        <c:lblOffset val="100"/>
      </c:catAx>
      <c:valAx>
        <c:axId val="106934656"/>
        <c:scaling>
          <c:orientation val="minMax"/>
        </c:scaling>
        <c:delete val="1"/>
        <c:axPos val="l"/>
        <c:numFmt formatCode="0.0;[Red]0.0" sourceLinked="1"/>
        <c:tickLblPos val="nextTo"/>
        <c:crossAx val="1068345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6062772027710428E-2"/>
          <c:y val="0.1523148148148149"/>
          <c:w val="0.89346473200283927"/>
          <c:h val="9.6868620589093193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Սպառողական գների ինդեքս /%/</a:t>
            </a:r>
          </a:p>
        </c:rich>
      </c:tx>
    </c:title>
    <c:plotArea>
      <c:layout>
        <c:manualLayout>
          <c:layoutTarget val="inner"/>
          <c:xMode val="edge"/>
          <c:yMode val="edge"/>
          <c:x val="1.117291895586873E-2"/>
          <c:y val="0.31885936132983461"/>
          <c:w val="0.97765416208826261"/>
          <c:h val="0.41824329250510323"/>
        </c:manualLayout>
      </c:layout>
      <c:barChart>
        <c:barDir val="col"/>
        <c:grouping val="clustered"/>
        <c:ser>
          <c:idx val="0"/>
          <c:order val="0"/>
          <c:tx>
            <c:strRef>
              <c:f>Sheet1!$C$116</c:f>
              <c:strCache>
                <c:ptCount val="1"/>
                <c:pt idx="0">
                  <c:v>2014թ. հունվար-օգոստոս</c:v>
                </c:pt>
              </c:strCache>
            </c:strRef>
          </c:tx>
          <c:dLbls>
            <c:dLbl>
              <c:idx val="0"/>
              <c:layout>
                <c:manualLayout>
                  <c:x val="-5.5864594779343755E-3"/>
                  <c:y val="9.2592592592592362E-3"/>
                </c:manualLayout>
              </c:layout>
              <c:showVal val="1"/>
            </c:dLbl>
            <c:dLbl>
              <c:idx val="1"/>
              <c:layout>
                <c:manualLayout>
                  <c:x val="-5.5864594779343755E-3"/>
                  <c:y val="1.388888888888890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Sheet1!$C$117:$C$118</c:f>
              <c:numCache>
                <c:formatCode>0.0</c:formatCode>
                <c:ptCount val="2"/>
                <c:pt idx="0">
                  <c:v>103.1</c:v>
                </c:pt>
                <c:pt idx="1">
                  <c:v>98.8</c:v>
                </c:pt>
              </c:numCache>
            </c:numRef>
          </c:val>
        </c:ser>
        <c:ser>
          <c:idx val="1"/>
          <c:order val="1"/>
          <c:tx>
            <c:strRef>
              <c:f>Sheet1!$D$116</c:f>
              <c:strCache>
                <c:ptCount val="1"/>
                <c:pt idx="0">
                  <c:v>2015թ. հունվար-օգոստոս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2592592592592778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9.2592592592592778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Sheet1!$D$117:$D$118</c:f>
              <c:numCache>
                <c:formatCode>0.0</c:formatCode>
                <c:ptCount val="2"/>
                <c:pt idx="0">
                  <c:v>104.8</c:v>
                </c:pt>
                <c:pt idx="1">
                  <c:v>97.9</c:v>
                </c:pt>
              </c:numCache>
            </c:numRef>
          </c:val>
        </c:ser>
        <c:ser>
          <c:idx val="2"/>
          <c:order val="2"/>
          <c:tx>
            <c:strRef>
              <c:f>Sheet1!$E$116</c:f>
              <c:strCache>
                <c:ptCount val="1"/>
                <c:pt idx="0">
                  <c:v>2016թ. հունվար-օգոստոս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2592592592592778E-3"/>
                </c:manualLayout>
              </c:layout>
              <c:showVal val="1"/>
            </c:dLbl>
            <c:dLbl>
              <c:idx val="1"/>
              <c:layout>
                <c:manualLayout>
                  <c:x val="-5.5864594779343755E-3"/>
                  <c:y val="9.2592592592592778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Sheet1!$E$117:$E$118</c:f>
              <c:numCache>
                <c:formatCode>0.0</c:formatCode>
                <c:ptCount val="2"/>
                <c:pt idx="0">
                  <c:v>98.4</c:v>
                </c:pt>
                <c:pt idx="1">
                  <c:v>96.2</c:v>
                </c:pt>
              </c:numCache>
            </c:numRef>
          </c:val>
        </c:ser>
        <c:ser>
          <c:idx val="3"/>
          <c:order val="3"/>
          <c:tx>
            <c:strRef>
              <c:f>Sheet1!$F$116</c:f>
              <c:strCache>
                <c:ptCount val="1"/>
                <c:pt idx="0">
                  <c:v>2017թ. հունվար-օգոստոս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2592592592592778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9.2592592592592778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Sheet1!$F$117:$F$118</c:f>
              <c:numCache>
                <c:formatCode>0.0</c:formatCode>
                <c:ptCount val="2"/>
                <c:pt idx="0">
                  <c:v>100.6</c:v>
                </c:pt>
                <c:pt idx="1">
                  <c:v>98.2</c:v>
                </c:pt>
              </c:numCache>
            </c:numRef>
          </c:val>
        </c:ser>
        <c:dLbls>
          <c:showVal val="1"/>
        </c:dLbls>
        <c:overlap val="-25"/>
        <c:axId val="107217664"/>
        <c:axId val="107219584"/>
      </c:barChart>
      <c:catAx>
        <c:axId val="1072176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07219584"/>
        <c:crosses val="autoZero"/>
        <c:auto val="1"/>
        <c:lblAlgn val="ctr"/>
        <c:lblOffset val="100"/>
      </c:catAx>
      <c:valAx>
        <c:axId val="107219584"/>
        <c:scaling>
          <c:orientation val="minMax"/>
        </c:scaling>
        <c:delete val="1"/>
        <c:axPos val="l"/>
        <c:numFmt formatCode="0.0" sourceLinked="1"/>
        <c:tickLblPos val="nextTo"/>
        <c:crossAx val="1072176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8003742487971506E-2"/>
          <c:y val="0.12476851851851858"/>
          <c:w val="0.89561282580715484"/>
          <c:h val="0.10612787984835229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Զուտ միջազգային պահուստներ (ԶՄՊ), ժամանակաշրջանի վերջի դրությամբ, մլն. դրամ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Sheet1!$B$139</c:f>
              <c:strCache>
                <c:ptCount val="1"/>
                <c:pt idx="0">
                  <c:v>Զուտ միջազգային պահուստներ (ԶՄՊ), ժամանակաշրջանի վերջի դրությամբ, մլն. դրամ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Sheet1!$C$138:$F$138</c:f>
              <c:strCache>
                <c:ptCount val="4"/>
                <c:pt idx="0">
                  <c:v>2014թ. հունվար-օգոստոս</c:v>
                </c:pt>
                <c:pt idx="1">
                  <c:v>2015թ. հունվար-օգոստոս</c:v>
                </c:pt>
                <c:pt idx="2">
                  <c:v>2016թ. հունվար-օգոստոս</c:v>
                </c:pt>
                <c:pt idx="3">
                  <c:v>2017թ. հունվար-օգոստոս</c:v>
                </c:pt>
              </c:strCache>
            </c:strRef>
          </c:cat>
          <c:val>
            <c:numRef>
              <c:f>Sheet1!$C$139:$F$139</c:f>
              <c:numCache>
                <c:formatCode>#,##0.0;[Red]#,##0.0</c:formatCode>
                <c:ptCount val="4"/>
                <c:pt idx="0" formatCode="#,##0.0">
                  <c:v>475027</c:v>
                </c:pt>
                <c:pt idx="1">
                  <c:v>445776</c:v>
                </c:pt>
                <c:pt idx="2">
                  <c:v>452441</c:v>
                </c:pt>
                <c:pt idx="3" formatCode="#,##0.0">
                  <c:v>616267</c:v>
                </c:pt>
              </c:numCache>
            </c:numRef>
          </c:val>
        </c:ser>
        <c:dLbls>
          <c:showVal val="1"/>
        </c:dLbls>
        <c:overlap val="-25"/>
        <c:axId val="107552128"/>
        <c:axId val="107612416"/>
      </c:barChart>
      <c:catAx>
        <c:axId val="107552128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07612416"/>
        <c:crosses val="autoZero"/>
        <c:auto val="1"/>
        <c:lblAlgn val="ctr"/>
        <c:lblOffset val="100"/>
      </c:catAx>
      <c:valAx>
        <c:axId val="107612416"/>
        <c:scaling>
          <c:orientation val="minMax"/>
        </c:scaling>
        <c:delete val="1"/>
        <c:axPos val="l"/>
        <c:numFmt formatCode="#,##0.0" sourceLinked="1"/>
        <c:tickLblPos val="nextTo"/>
        <c:crossAx val="10755212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արտաքին առևտրաշրջանառությունը և առևտրի հաշվեկշիռը (մլն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8.3820305105910785E-3"/>
          <c:y val="0.26119949540387627"/>
          <c:w val="0.9916179694894085"/>
          <c:h val="0.73880050459612423"/>
        </c:manualLayout>
      </c:layout>
      <c:barChart>
        <c:barDir val="col"/>
        <c:grouping val="clustered"/>
        <c:ser>
          <c:idx val="0"/>
          <c:order val="0"/>
          <c:tx>
            <c:strRef>
              <c:f>Sheet1!$C$157</c:f>
              <c:strCache>
                <c:ptCount val="1"/>
                <c:pt idx="0">
                  <c:v>2014թ. հունվար-օգոստոս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Sheet1!$C$158:$C$159</c:f>
              <c:numCache>
                <c:formatCode>#,##0.0</c:formatCode>
                <c:ptCount val="2"/>
                <c:pt idx="0" formatCode="#,##0.0;[Red]#,##0.0">
                  <c:v>3777.9</c:v>
                </c:pt>
                <c:pt idx="1">
                  <c:v>-1851.8</c:v>
                </c:pt>
              </c:numCache>
            </c:numRef>
          </c:val>
        </c:ser>
        <c:ser>
          <c:idx val="1"/>
          <c:order val="1"/>
          <c:tx>
            <c:strRef>
              <c:f>Sheet1!$D$157</c:f>
              <c:strCache>
                <c:ptCount val="1"/>
                <c:pt idx="0">
                  <c:v>2015թ. հունվար-օգոստոս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235229524125394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Sheet1!$D$158:$D$159</c:f>
              <c:numCache>
                <c:formatCode>#,##0.0</c:formatCode>
                <c:ptCount val="2"/>
                <c:pt idx="0" formatCode="#,##0.0;[Red]#,##0.0">
                  <c:v>2978.3</c:v>
                </c:pt>
                <c:pt idx="1">
                  <c:v>-1078.5999999999999</c:v>
                </c:pt>
              </c:numCache>
            </c:numRef>
          </c:val>
        </c:ser>
        <c:ser>
          <c:idx val="2"/>
          <c:order val="2"/>
          <c:tx>
            <c:strRef>
              <c:f>Sheet1!$E$157</c:f>
              <c:strCache>
                <c:ptCount val="1"/>
                <c:pt idx="0">
                  <c:v>2016թ. հունվար-օգոստոս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Sheet1!$E$158:$E$159</c:f>
              <c:numCache>
                <c:formatCode>0.0</c:formatCode>
                <c:ptCount val="2"/>
                <c:pt idx="0" formatCode="#,##0.0;[Red]#,##0.0">
                  <c:v>3118.9</c:v>
                </c:pt>
                <c:pt idx="1">
                  <c:v>-845</c:v>
                </c:pt>
              </c:numCache>
            </c:numRef>
          </c:val>
        </c:ser>
        <c:ser>
          <c:idx val="3"/>
          <c:order val="3"/>
          <c:tx>
            <c:strRef>
              <c:f>Sheet1!$F$157</c:f>
              <c:strCache>
                <c:ptCount val="1"/>
                <c:pt idx="0">
                  <c:v>2017թ. հունվար-օգոստոս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Sheet1!$F$158:$F$159</c:f>
              <c:numCache>
                <c:formatCode>#,##0.0</c:formatCode>
                <c:ptCount val="2"/>
                <c:pt idx="0" formatCode="#,##0.0;[Red]#,##0.0">
                  <c:v>3880.6</c:v>
                </c:pt>
                <c:pt idx="1">
                  <c:v>-1114.2</c:v>
                </c:pt>
              </c:numCache>
            </c:numRef>
          </c:val>
        </c:ser>
        <c:dLbls>
          <c:showVal val="1"/>
        </c:dLbls>
        <c:overlap val="-25"/>
        <c:axId val="108000000"/>
        <c:axId val="108002304"/>
      </c:barChart>
      <c:catAx>
        <c:axId val="1080000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08002304"/>
        <c:crosses val="autoZero"/>
        <c:auto val="1"/>
        <c:lblAlgn val="ctr"/>
        <c:lblOffset val="100"/>
      </c:catAx>
      <c:valAx>
        <c:axId val="108002304"/>
        <c:scaling>
          <c:orientation val="minMax"/>
        </c:scaling>
        <c:delete val="1"/>
        <c:axPos val="l"/>
        <c:numFmt formatCode="#,##0.0;[Red]#,##0.0" sourceLinked="1"/>
        <c:tickLblPos val="nextTo"/>
        <c:crossAx val="1080000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7.8611566146100792E-2"/>
          <c:y val="0.16016809496159279"/>
          <c:w val="0.84557087787799545"/>
          <c:h val="7.7916722187153814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արտահանումը և ներմուծումը  (մլն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1.1373087647774581E-2"/>
          <c:y val="0.27496448236326865"/>
          <c:w val="0.97725382470445088"/>
          <c:h val="0.60183654998420999"/>
        </c:manualLayout>
      </c:layout>
      <c:barChart>
        <c:barDir val="col"/>
        <c:grouping val="clustered"/>
        <c:ser>
          <c:idx val="0"/>
          <c:order val="0"/>
          <c:tx>
            <c:strRef>
              <c:f>Sheet1!$C$178</c:f>
              <c:strCache>
                <c:ptCount val="1"/>
                <c:pt idx="0">
                  <c:v>2014թ. հունվար-օգոստոս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Sheet1!$C$179:$C$180</c:f>
              <c:numCache>
                <c:formatCode>#,##0.0;[Red]#,##0.0</c:formatCode>
                <c:ptCount val="2"/>
                <c:pt idx="0" formatCode="0.0">
                  <c:v>963</c:v>
                </c:pt>
                <c:pt idx="1">
                  <c:v>2814.8</c:v>
                </c:pt>
              </c:numCache>
            </c:numRef>
          </c:val>
        </c:ser>
        <c:ser>
          <c:idx val="1"/>
          <c:order val="1"/>
          <c:tx>
            <c:strRef>
              <c:f>Sheet1!$D$178</c:f>
              <c:strCache>
                <c:ptCount val="1"/>
                <c:pt idx="0">
                  <c:v>2015թ. հունվար-օգոստոս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Sheet1!$D$179:$D$180</c:f>
              <c:numCache>
                <c:formatCode>#,##0.0;[Red]#,##0.0</c:formatCode>
                <c:ptCount val="2"/>
                <c:pt idx="0" formatCode="0.0">
                  <c:v>949.8</c:v>
                </c:pt>
                <c:pt idx="1">
                  <c:v>2028.5</c:v>
                </c:pt>
              </c:numCache>
            </c:numRef>
          </c:val>
        </c:ser>
        <c:ser>
          <c:idx val="2"/>
          <c:order val="2"/>
          <c:tx>
            <c:strRef>
              <c:f>Sheet1!$E$178</c:f>
              <c:strCache>
                <c:ptCount val="1"/>
                <c:pt idx="0">
                  <c:v>2016թ. հունվար-օգոստոս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Sheet1!$E$179:$E$180</c:f>
              <c:numCache>
                <c:formatCode>#,##0.0;[Red]#,##0.0</c:formatCode>
                <c:ptCount val="2"/>
                <c:pt idx="0">
                  <c:v>1136.9000000000001</c:v>
                </c:pt>
                <c:pt idx="1">
                  <c:v>1982</c:v>
                </c:pt>
              </c:numCache>
            </c:numRef>
          </c:val>
        </c:ser>
        <c:ser>
          <c:idx val="3"/>
          <c:order val="3"/>
          <c:tx>
            <c:strRef>
              <c:f>Sheet1!$F$178</c:f>
              <c:strCache>
                <c:ptCount val="1"/>
                <c:pt idx="0">
                  <c:v>2017թ. հունվար-օգոստոս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Sheet1!$F$179:$F$180</c:f>
              <c:numCache>
                <c:formatCode>#,##0.0;[Red]#,##0.0</c:formatCode>
                <c:ptCount val="2"/>
                <c:pt idx="0" formatCode="#,##0.0">
                  <c:v>1383.2</c:v>
                </c:pt>
                <c:pt idx="1">
                  <c:v>2497.4</c:v>
                </c:pt>
              </c:numCache>
            </c:numRef>
          </c:val>
        </c:ser>
        <c:dLbls>
          <c:showVal val="1"/>
        </c:dLbls>
        <c:overlap val="-25"/>
        <c:axId val="107680128"/>
        <c:axId val="107681664"/>
      </c:barChart>
      <c:catAx>
        <c:axId val="1076801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07681664"/>
        <c:crosses val="autoZero"/>
        <c:auto val="1"/>
        <c:lblAlgn val="ctr"/>
        <c:lblOffset val="100"/>
      </c:catAx>
      <c:valAx>
        <c:axId val="107681664"/>
        <c:scaling>
          <c:orientation val="minMax"/>
        </c:scaling>
        <c:delete val="1"/>
        <c:axPos val="l"/>
        <c:numFmt formatCode="0.0" sourceLinked="1"/>
        <c:tickLblPos val="nextTo"/>
        <c:crossAx val="1076801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2749152895267935E-2"/>
          <c:y val="0.11672053707168269"/>
          <c:w val="0.90597165459395568"/>
          <c:h val="9.9282281149632404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7D44-0651-4F41-8708-D6DA9994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FinComm Expert2</dc:creator>
  <cp:lastModifiedBy>User</cp:lastModifiedBy>
  <cp:revision>14</cp:revision>
  <cp:lastPrinted>2017-06-14T06:31:00Z</cp:lastPrinted>
  <dcterms:created xsi:type="dcterms:W3CDTF">2017-08-03T10:33:00Z</dcterms:created>
  <dcterms:modified xsi:type="dcterms:W3CDTF">2017-10-10T06:06:00Z</dcterms:modified>
</cp:coreProperties>
</file>