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F6B" w:rsidRPr="00FD503C" w:rsidRDefault="005C2F6B" w:rsidP="00FD503C">
      <w:pPr>
        <w:spacing w:after="160" w:line="240" w:lineRule="auto"/>
        <w:ind w:firstLine="567"/>
        <w:jc w:val="center"/>
        <w:rPr>
          <w:rFonts w:ascii="Times New Roman" w:hAnsi="Times New Roman" w:cs="Times New Roman"/>
          <w:b/>
          <w:bCs/>
          <w:lang w:val="en-US"/>
        </w:rPr>
      </w:pPr>
      <w:bookmarkStart w:id="0" w:name="_GoBack"/>
      <w:r w:rsidRPr="00FD503C">
        <w:rPr>
          <w:rFonts w:ascii="GHEA Grapalat" w:hAnsi="GHEA Grapalat" w:cs="GHEA Grapalat"/>
          <w:b/>
          <w:bCs/>
        </w:rPr>
        <w:t>ՀԱՄԱՁԱՅՆԱԳԻՐ</w:t>
      </w:r>
    </w:p>
    <w:p w:rsidR="005C2F6B" w:rsidRPr="00FD503C" w:rsidRDefault="005C2F6B" w:rsidP="00FD503C">
      <w:pPr>
        <w:spacing w:after="160" w:line="240" w:lineRule="auto"/>
        <w:ind w:firstLine="567"/>
        <w:jc w:val="center"/>
        <w:rPr>
          <w:rFonts w:ascii="GHEA Grapalat" w:hAnsi="GHEA Grapalat" w:cs="GHEA Grapalat"/>
          <w:b/>
          <w:bCs/>
        </w:rPr>
      </w:pPr>
      <w:r w:rsidRPr="00FD503C">
        <w:rPr>
          <w:rFonts w:ascii="GHEA Grapalat" w:hAnsi="GHEA Grapalat" w:cs="GHEA Grapalat"/>
          <w:b/>
          <w:bCs/>
        </w:rPr>
        <w:t xml:space="preserve"> ՄԱՔՍԱՅԻՆ ՄԻՈՒԹՅԱՆ ՄԱՔՍԱՅԻՆ ՍԱՀՄԱՆՈՎ ՏԵՂԱՓՈԽՎՈՂ ԱՊՐԱՆՔՆԵՐԻ ԵՎ ՏՐԱՆՍՊՈՐՏԱՅԻՆ ՄԻՋՈՑՆԵՐԻ ՄԱՍԻՆ ՆԱԽՆԱԿԱՆ ՏԵՂԵԿՈՒԹՅՈՒՆՆԵՐԸ ՓՈԽԱՆԱԿԵԼՈՒ ԵՎ ՆԵՐԿԱՅԱՑՆԵԼՈՒ ՄԱՍԻՆ </w:t>
      </w:r>
    </w:p>
    <w:bookmarkEnd w:id="0"/>
    <w:p w:rsidR="005C2F6B" w:rsidRPr="00FD503C" w:rsidRDefault="005C2F6B" w:rsidP="00FD503C">
      <w:pPr>
        <w:spacing w:after="160" w:line="240" w:lineRule="auto"/>
        <w:jc w:val="both"/>
        <w:rPr>
          <w:rFonts w:ascii="GHEA Grapalat" w:hAnsi="GHEA Grapalat" w:cs="GHEA Grapalat"/>
          <w:lang w:val="en-US"/>
        </w:rPr>
      </w:pP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Եվրասիական տնտեսական համայնքի շրջանակներում՝ Մաքսային միության անդամ պետությունների կառավարությունները (այսուհետ՝ Կողմեր),</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ղեկավարվելով «Մաքսային միության Մաքսային օրենսգրքի մասին» 2009 թվականի նոյեմբերի 27-ի պայմանագրով (այսուհետ՝ Պայմանագիր),</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հաշվի առնելով Համաշխարհային մաքսային կազմակերպության Համաշխարհային առեւտրի անվտանգության եւ դյուրացման շրջանակային չափորոշիչները, </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ձգտելով ստեղծել Կողմ պետությունների մաքսային մարմինների միջեւ արդյունավետ փոխգործակցություն եւ կարգավորել նրանց գործունեությունը՝ Մաքսային միության մաքսային սահմանով տեղափոխվող ապրանքների եւ տրանսպորտային միջոցների նկատմամբ մաքսային հսկողություն ապահովելու գործընթացում, </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ընդունելով Մաքսային միության մաքսային սահմանով տեղափոխվող ապրանքների եւ տրանսպորտային միջոցների մասին նախնական տեղեկություններ ներկայացնելու եւ փոխանակելու անհրաժեշտությունը՝ Մաքսային միության մաքսային օրենսդրության եւ Մաքսային միության անդամ պետությունների օրենսդրության խախտումների ռիսկերը նվազեցնելու, ինչպես նաեւ՝ մաքսային ձեւակերպումների իրականացումը կատարելագործելու եւ արագացնելու, մաքսային հսկողության արդյունավետությունը բարձրացնելու նպատակով, </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համաձայնեցին հետեւյալի մասին՝</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1" w:name="Par15"/>
      <w:bookmarkEnd w:id="1"/>
      <w:r w:rsidRPr="00FD503C">
        <w:rPr>
          <w:rFonts w:ascii="GHEA Grapalat" w:hAnsi="GHEA Grapalat" w:cs="GHEA Grapalat"/>
          <w:b/>
          <w:bCs/>
        </w:rPr>
        <w:t>Հոդված 1</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Սույն Համաձայնագրում օգտագործվում են հետեւյալ տերմինները.</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b/>
          <w:bCs/>
        </w:rPr>
        <w:t>Մաքսային միության անդամ պետության կենտրոնական մաքսային մարմին</w:t>
      </w:r>
      <w:r w:rsidRPr="00FD503C">
        <w:rPr>
          <w:rFonts w:ascii="GHEA Grapalat" w:hAnsi="GHEA Grapalat" w:cs="GHEA Grapalat"/>
        </w:rPr>
        <w:t>՝ Բելառուսի Հանրապետության Պետական մաքսային կոմիտե, Ղազախստանի Հանրապետության Ֆինանսների նախարարության Մաքսային հսկողության կոմիտե, Ռուսաստանի Դաշնության Դաշնային մաքսային ծառայություն,</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b/>
          <w:bCs/>
        </w:rPr>
        <w:t>տեխնիկական պայմաններ</w:t>
      </w:r>
      <w:r w:rsidRPr="00FD503C">
        <w:rPr>
          <w:rFonts w:ascii="GHEA Grapalat" w:hAnsi="GHEA Grapalat" w:cs="GHEA Grapalat"/>
        </w:rPr>
        <w:t>՝ փաստաթուղթ, որը սահմանում է էլեկտրոնային այն հաղորդագրությունների կառուցվածքն ու ձեւաչափը, որոնք Մաքսային միության անդամ պետությունների մաքսային մարմինները փոխանակում են՝ տեղեկատվական համակարգերի կիրառման միջոցով, փոխանակման մասին կանոնակարգ, փոխանակման եղանակներ, տեղեկատվական համակարգերի ծրագրային եւ տեխնիկական միջոցներին, ինչպես նաեւ՝ փոխադրման նույնականացման եզակի համարին ներկայացվող պահանջներ,</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b/>
          <w:bCs/>
        </w:rPr>
        <w:t>տեխնիկական պահանջներ</w:t>
      </w:r>
      <w:r w:rsidRPr="00FD503C">
        <w:rPr>
          <w:rFonts w:ascii="GHEA Grapalat" w:hAnsi="GHEA Grapalat" w:cs="GHEA Grapalat"/>
        </w:rPr>
        <w:t>՝ փաստաթուղթ, որով սահմանվում են մաքսային մարմինների ավտոմատացված համակարգի եւ շահագրգիռ այն անձանց տեղեկատվական համակարգերի միջեւ տվյալների էլեկտրոնային փոխանակման մասին կարգը, ձեւաչափերը, եղանակը եւ կանոնակարգերը, որոնք ներկայացնում են Մաքսային միության մաքսային տարածք ներսբերման համար նախատեսվող ապրանքների եւ տրանսպորտային միջոցների մասին նախնական տեղեկություններ,</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b/>
          <w:bCs/>
        </w:rPr>
        <w:t>փոխադրման նույնականացման եզակի համար (այսուհետ՝ ՓՆԵՀ)</w:t>
      </w:r>
      <w:r w:rsidRPr="00FD503C">
        <w:rPr>
          <w:rFonts w:ascii="GHEA Grapalat" w:hAnsi="GHEA Grapalat" w:cs="GHEA Grapalat"/>
        </w:rPr>
        <w:t>՝ նախնական տեղեկությունների եզակի համար, որը Մաքսային միության անդամ պետության մաքսային մարմնի կողմից տեղեկատվական համակարգի կիրառմամբ տրվում է ապրանքի յուրաքանչյուր խմբաքանակին։</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2" w:name="Par23"/>
      <w:bookmarkEnd w:id="2"/>
      <w:r w:rsidRPr="00FD503C">
        <w:rPr>
          <w:rFonts w:ascii="GHEA Grapalat" w:hAnsi="GHEA Grapalat" w:cs="GHEA Grapalat"/>
          <w:b/>
          <w:bCs/>
        </w:rPr>
        <w:t>Հոդված 2</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Լիազորված տնտեսական օպերատորները, փոխադրողները, այդ թվում՝ մաքսային փոխադրողները, մաքսային ներկայացուցիչները եւ շահագրգիռ այլ անձինք (այսուհետ՝ շահագրգիռ անձինք) Մաքսային միության անդամ պետությունների մաքսային մարմիններին էլեկտրոնային եղանակով կարող են ներկայացնել նախնական տեղեկություններ՝ մաքսային սահմանով տեղափոխման համար նախատեսված ապրանքների, այդպիսի ապրանքները տեղափոխող տրանսպորտային միջոցների, Մաքսային միության մաքսային տարածք ապրանքների ժամանման կամ այդ տարածքից մեկնման ժամի եւ վայրի, Մաքսային միության մաքսային տարածք ժամանող կամ այդ տարածքից մեկնող ուղեւորների մասին (այսուհետ՝ նախնական տեղեկություններ)։ </w:t>
      </w:r>
    </w:p>
    <w:p w:rsidR="005C2F6B" w:rsidRPr="00FD503C" w:rsidRDefault="005C2F6B" w:rsidP="00FD503C">
      <w:pPr>
        <w:spacing w:after="160" w:line="240" w:lineRule="auto"/>
        <w:ind w:firstLine="567"/>
        <w:jc w:val="center"/>
        <w:rPr>
          <w:rFonts w:ascii="GHEA Grapalat" w:hAnsi="GHEA Grapalat" w:cs="GHEA Grapalat"/>
          <w:b/>
          <w:bCs/>
        </w:rPr>
      </w:pPr>
    </w:p>
    <w:p w:rsidR="005C2F6B" w:rsidRPr="00FD503C" w:rsidRDefault="005C2F6B" w:rsidP="00FD503C">
      <w:pPr>
        <w:spacing w:after="160" w:line="240" w:lineRule="auto"/>
        <w:ind w:firstLine="567"/>
        <w:jc w:val="center"/>
        <w:rPr>
          <w:rFonts w:ascii="GHEA Grapalat" w:hAnsi="GHEA Grapalat" w:cs="GHEA Grapalat"/>
          <w:b/>
          <w:bCs/>
        </w:rPr>
      </w:pPr>
      <w:bookmarkStart w:id="3" w:name="Par27"/>
      <w:bookmarkEnd w:id="3"/>
      <w:r w:rsidRPr="00FD503C">
        <w:rPr>
          <w:rFonts w:ascii="GHEA Grapalat" w:hAnsi="GHEA Grapalat" w:cs="GHEA Grapalat"/>
          <w:b/>
          <w:bCs/>
        </w:rPr>
        <w:t>Հոդված 3</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Նախնական տեղեկությունները ներկայացնելու պարտադիր լինելը սահմանվում է Մաքսային միության Հանձնաժողովի որոշմամբ՝ կախված տրանսպորտի այն տեսակից, որով տեղափոխվում են ապրանքները (այսուհետ՝ Հանձնաժողովի որոշում)։</w:t>
      </w:r>
    </w:p>
    <w:p w:rsidR="005C2F6B" w:rsidRPr="00FD503C" w:rsidRDefault="005C2F6B" w:rsidP="00FD503C">
      <w:pPr>
        <w:spacing w:after="160" w:line="240" w:lineRule="auto"/>
        <w:ind w:firstLine="567"/>
        <w:jc w:val="both"/>
        <w:rPr>
          <w:rFonts w:ascii="GHEA Grapalat" w:hAnsi="GHEA Grapalat" w:cs="GHEA Grapalat"/>
        </w:rPr>
      </w:pPr>
      <w:bookmarkStart w:id="4" w:name="Par30"/>
      <w:bookmarkEnd w:id="4"/>
      <w:r w:rsidRPr="00FD503C">
        <w:rPr>
          <w:rFonts w:ascii="GHEA Grapalat" w:hAnsi="GHEA Grapalat" w:cs="GHEA Grapalat"/>
        </w:rPr>
        <w:t>Հանձնաժողովի որոշումը պետք է ներառի.</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նախնական տեղեկությունները՝ պարտադիր կերպով ներկայացնելու ամսաթիվը, </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Մաքսային միության մաքսային սահմանով այն ապրանքները տեղափոխող տրանսպորտի տեսակը, որոնց առնչությամբ պարտադիր կերպով ներկայացվում են նախնական տեղեկությունները,</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պարտադիր նախնական տեղեկությունների տվյալների կազմը,</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մաքսային մարմինների պաշտոնատար անձանց գործողությունների կարգն այն դեպքում, երբ Մաքսային միության մաքսային սահմանով ապրանքների եւ տրանսպորտային միջոցների տեղափոխման վայրերում բացակայում են պարտադիր նախնական տեղեկությունները,</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Հանձնաժողովի որոշումն իրականացնելու համար անհրաժեշտ այլ տեղեկություններ։</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Նախնական տեղեկություններ ներկայացնելը պարտադիր կերպով չի պահանջվում ստորեւ նշվածների առնչությամբ.</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ֆիզիկական անձանց կողմից անձնական օգտագործման նպատակով տեղափոխվող ապրանքներ եւ տրանսպորտային միջոցներ, </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միջազգային փոստային առաքումներով ուղարկվող ապրանքներ,</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Մաքսային միության Մաքսային օրենսգրքի 45-րդ գլխի դրույթների համաձայն՝ օտարերկրյա անձանց առանձին կատեգորիաների կողմից տեղափոխվող ապրանքներ եւ տրանսպորտային միջոցներ, </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տարերային աղետների, վթարների եւ աղետների հետեւանքների վերացման նպատակով տեղափոխվող ապրանքներ եւ տրանսպորտային միջոցներ,</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ռազմական բեռներ։</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Մաքսային միության Հանձնաժողովը եւ Մաքսային միության անդամ պետությունների կենտրոնական մաքսային մարմիններն ապահովում են Հանձնաժողովի որոշման հրապարակումը եւ դրա մասին շահագրգիռ բոլոր անձանց իրազեկելը, այդ թվում՝ տեղեկատվական տեխնոլոգիաների կիրառման միջոցով՝ տվյալ որոշումը ստորագրելուց հետո երեսուն օրվա ընթացքում, բայց ոչ ուշ, քան պարտադիր կերպով նախնական տեղեկությունները ներկայացնելու ամսաթվին նախորդող հարյուր ութսուն օրվա ընթացքում։</w:t>
      </w:r>
    </w:p>
    <w:p w:rsidR="005C2F6B" w:rsidRPr="00FD503C" w:rsidRDefault="005C2F6B" w:rsidP="00FD503C">
      <w:pPr>
        <w:spacing w:after="160" w:line="240" w:lineRule="auto"/>
        <w:ind w:firstLine="567"/>
        <w:jc w:val="center"/>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5" w:name="Par44"/>
      <w:bookmarkEnd w:id="5"/>
      <w:r w:rsidRPr="00FD503C">
        <w:rPr>
          <w:rFonts w:ascii="GHEA Grapalat" w:hAnsi="GHEA Grapalat" w:cs="GHEA Grapalat"/>
          <w:b/>
          <w:bCs/>
        </w:rPr>
        <w:t>Հոդված 4</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Նախնական տեղեկությունները տրամադրվում են Մաքսային միության անդամ պետության լեզվով, բացառությամբ պայմանական նշումների, որոնք կիրառվում են մաքսային մարմինների կողմից՝ որպես դասակարգիչներ։</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6" w:name="Par48"/>
      <w:bookmarkEnd w:id="6"/>
      <w:r w:rsidRPr="00FD503C">
        <w:rPr>
          <w:rFonts w:ascii="GHEA Grapalat" w:hAnsi="GHEA Grapalat" w:cs="GHEA Grapalat"/>
          <w:b/>
          <w:bCs/>
        </w:rPr>
        <w:t>Հոդված 5</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Շահագրգիռ անձինք նախնական տեղեկություններ են ներկայացնում ներսբերվող այն ապրանքների մասին, որոնք նախատեսված են տարանցիկ փոխադրման մաքսային ընթացակարգի համաձայն ժամանման վայրերում տեղակայելու համար՝ այն տվյալների ծավալով, որոնք սահմանված են «Մաքսային միության Մաքսային օրենսգրքի» 182-րդ հոդվածով կամ սույն Համաձայնագրի 3-րդ հոդվածի երկրորդ մասով։</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Այն դեպքում, երբ ներսբերվող ապրանքների եւ տրանսպորտային միջոցների նկատմամբ տարանցիկ փոխադրման մաքսային ընթացակարգ չի կիրառվելու, ապա շահագրգիռ անձինք ներկայացնում են նախնական տեղեկություններ այն տվյալների ծավալով, որոնք սահմանված են «Մաքսային միության Մաքսային օրենսգրքի» 159-րդ հոդվածով։</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7" w:name="Par53"/>
      <w:bookmarkEnd w:id="7"/>
      <w:r w:rsidRPr="00FD503C">
        <w:rPr>
          <w:rFonts w:ascii="GHEA Grapalat" w:hAnsi="GHEA Grapalat" w:cs="GHEA Grapalat"/>
          <w:b/>
          <w:bCs/>
        </w:rPr>
        <w:t>Հոդված 6</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Նախնական տեղեկությունների տրամադրումն իրականացվում է էլեկտրոնային եղանակով՝ Մաքսային միության անդամ պետությունների մաքսային մարմինների տեղեկատվական համակարգի եւ շահագրգիռ անձանց տեղեկատվական համակարգերի փոխգործակցության կամ Մաքսային միության անդամ պետությունների մաքսային մարմինների համացանցային պորտալների միջոցով։ </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Շահագրգիռ անձանց տեղեկատվական համակարգերին ներկայացվող տեխնիկական պահանջները մշակվում եւ հրապարակվում են Մաքսային միության անդամ պետության մաքսային մարմինների կողմից՝ շահագրգիռ անձանց տեղեկացնելու համար։</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8" w:name="Par58"/>
      <w:bookmarkEnd w:id="8"/>
      <w:r w:rsidRPr="00FD503C">
        <w:rPr>
          <w:rFonts w:ascii="GHEA Grapalat" w:hAnsi="GHEA Grapalat" w:cs="GHEA Grapalat"/>
          <w:b/>
          <w:bCs/>
        </w:rPr>
        <w:t>Հոդված 7</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Շահագրգիռ անձի կողմից նախնական տեղեկությունները պետք է ուղարկվեն Մաքսային միության անդամ պետության մաքսային մարմին՝ Մաքսային միության մաքսային սահմանով ապրանքների եւ տրանսպորտային միջոցների տեղափոխումից ոչ պակաս, քան երկու ժամ առաջ։</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Այն դեպքում, երբ նախնական տեղեկությունները չեն համապատասխանում տեխնիկական պահանջների համաձայն հաստատված տվյալների կազմին, դրա կառուցվածքին եւ ձեւաչափին, շահագրգիռ անձին ուղարկվում է էլեկտրոնային հաղորդագրություն այն մասին, որ նախնական տեղեկությունները չեն ընդունվում քննության համար՝ ծանուցման մեջ նշելով դրա պատճառները։ </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Ներկայացված նախնական տեղեկությունների մեջ սխալների բացակայության դեպքում շահագրգիռ անձին ուղարկվում է ՓՆԵՀ-ը ներառող էլեկտրոնային հաղորդագրություն։</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Այն դեպքում, երբ տրանսպորտային մեկ միջոցով փոխադրվում է ապրանքի մի քանի խմբաքանակ, նախնական տեղեկությունները պետք է տրամադրվեն ապրանքի յուրաքանչյուր խմբաքանակի համար առանձին։ Ապրանքի յուրաքանչյուր խմբաքանակին տրվում է անհատական ՓՆԵՀ։ </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Նախնական տեղեկությունները պահպանվում են նախնական տեղեկությունների տվյալների բազայում՝ ՓՆԵՀ-ը տրվելու ամսաթվից հետո 30 օրվանից ոչ պակաս ժամկետով։</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Եթե նախնական տեղեկությունները պահպանելու ժամկետի ընթացքում չի իրականացվել ապրանքի եւ տրանսպորտային միջոցների փաստացի ներսբերում, ապա նախնական տվյալ տեղեկությունները չեղյալ են համարվում։</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9" w:name="Par67"/>
      <w:bookmarkEnd w:id="9"/>
      <w:r w:rsidRPr="00FD503C">
        <w:rPr>
          <w:rFonts w:ascii="GHEA Grapalat" w:hAnsi="GHEA Grapalat" w:cs="GHEA Grapalat"/>
          <w:b/>
          <w:bCs/>
        </w:rPr>
        <w:t>Հոդված 8</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Մաքսային ձեւակերպումներ իրականացնելու նպատակով շահագրգիռ անձը ՓՆԵՀ-ը ներկայացնում է Մաքսային միության անդամ պետության մաքսային մարմին՝ Մաքսային միության մաքսային սահմանով ապրանքների եւ տրանսպորտային միջոցների տեղափոխման վայրում։</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Շահագրգիռ անձից ՓՆԵՀ-ը ստանալու դեպքում Մաքսային միության անդամ պետության մաքսային մարմնի պաշտոնատար անձը պետք է իրականացնի հետեւյալ գործողությունները.</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օգտագործելով ծրագրային միջոցները՝ ըստ ՓՆԵՀ-ի պահանջել ապրանքների եւ տրանսպորտային միջոցների մասին մաքսային մարմինների տվյալների բազայում առկա նախնական տեղեկությունները,</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փոխադրողի կողմից ներկայացված տրանսպորտային (փոխադրման) եւ առեւտրային փաստաթղթերում (այսուհետ՝ փաստաթղթեր) եղած տվյալները համեմատել նախնական տեղեկությունների մեջ եղած տվյալների հետ,</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ստուգել արգելքների եւ սահմանափակումների պահպանումը, </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իրականացնել այլ գործողություններ, որոնք սահմանված են Մաքսային միության եւ Մաքսային միության անդամ պետության մաքսային օրենսդրությամբ։</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Այն դեպքում, երբ Մաքսային միության անդամ պետությունների մաքսային մարմինների նախնական տեղեկությունների տվյալների բազայում առկա տվյալները չեն համապատասխանում փոխադրողի կողմից ներկայացված փաստաթղթերում առկա տվյալներին, ապա Մաքսային միության անդամ պետության մաքսային մարմնի պաշտոնատար անձը միջոցներ է ձեռնարկում՝ Մաքսային միության անդամ պետության օրենսդրության համաձայն։ </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Այն դեպքում, երբ Մաքսային միության անդամ պետությունների մաքսային մարմինների տվյալների բազայում բացակայում են ապրանքների եւ տրանսպորտային միջոցների մասին նախնական այն տեղեկությունները, որոնք ներկայացնելը պարտադիր է, ապա սույն Համաձայնագրի 3-րդ հոդվածի համաձայն՝ մաքսային ձեւակերպումներն իրականացվում են Հանձնաժողովի որոշմանը համապատասխան։ </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10" w:name="Par78"/>
      <w:bookmarkEnd w:id="10"/>
      <w:r w:rsidRPr="00FD503C">
        <w:rPr>
          <w:rFonts w:ascii="GHEA Grapalat" w:hAnsi="GHEA Grapalat" w:cs="GHEA Grapalat"/>
          <w:b/>
          <w:bCs/>
        </w:rPr>
        <w:t>Հոդված 9</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Մաքսային միության անդամ պետությունների կենտրոնական մաքսային մարմինների միջեւ ապրանքների եւ տրանսպորտային միջոցների մասին նախնական տեղեկությունների փոխանակումն իրականացվում է էլեկտրոնային եղանակով։</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11" w:name="Par82"/>
      <w:bookmarkEnd w:id="11"/>
      <w:r w:rsidRPr="00FD503C">
        <w:rPr>
          <w:rFonts w:ascii="GHEA Grapalat" w:hAnsi="GHEA Grapalat" w:cs="GHEA Grapalat"/>
          <w:b/>
          <w:bCs/>
        </w:rPr>
        <w:t>Հոդված 10</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Սույն Համաձայնագրի 9-րդ հոդվածի դրույթներն իրականացնելու նպատակով Մաքսային միության անդամ պետությունների մաքսային մարմինները մշակում են Մաքսային միության մաքսային սահմանով տեղափոխվող ապրանքների եւ տրանսպորտային միջոցների մասին նախնական տեղեկությունների փոխանակման գործընթացը կազմակերպելու համար տեխնիկական պայմաններ, որոնք հաստատվում են Մաքսային միության անդամ պետությունների կենտրոնական մաքսային մարմինների ղեկավարների կողմից։ </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12" w:name="Par86"/>
      <w:bookmarkEnd w:id="12"/>
      <w:r w:rsidRPr="00FD503C">
        <w:rPr>
          <w:rFonts w:ascii="GHEA Grapalat" w:hAnsi="GHEA Grapalat" w:cs="GHEA Grapalat"/>
          <w:b/>
          <w:bCs/>
        </w:rPr>
        <w:t>Հոդված 11</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 xml:space="preserve">Սույն Համաձայնագրին համապատասխան ստացված տեղեկությունները գաղտնի բնույթ են կրում եւ պետք է կիրառվեն բացառապես մաքսային նպատակներով։ </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13" w:name="Par90"/>
      <w:bookmarkEnd w:id="13"/>
      <w:r w:rsidRPr="00FD503C">
        <w:rPr>
          <w:rFonts w:ascii="GHEA Grapalat" w:hAnsi="GHEA Grapalat" w:cs="GHEA Grapalat"/>
          <w:b/>
          <w:bCs/>
        </w:rPr>
        <w:t>Հոդված 12</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Սույն Համաձայնագրի դրույթների իրականացման հարցերի վերաբերյալ գրագրությունը կատարվում է ռուսերենով։</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14" w:name="Par94"/>
      <w:bookmarkEnd w:id="14"/>
      <w:r w:rsidRPr="00FD503C">
        <w:rPr>
          <w:rFonts w:ascii="GHEA Grapalat" w:hAnsi="GHEA Grapalat" w:cs="GHEA Grapalat"/>
          <w:b/>
          <w:bCs/>
        </w:rPr>
        <w:t>Հոդված 13</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Սույն Համաձայնագրով չեն շոշափվում Կողմերի՝ միջազգային այն պայմանագրերից բխող իրավունքներն ու պարտավորությունները, որոնց մասնակիցները Կողմերի պետություններն են։</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15" w:name="Par98"/>
      <w:bookmarkEnd w:id="15"/>
      <w:r w:rsidRPr="00FD503C">
        <w:rPr>
          <w:rFonts w:ascii="GHEA Grapalat" w:hAnsi="GHEA Grapalat" w:cs="GHEA Grapalat"/>
          <w:b/>
          <w:bCs/>
        </w:rPr>
        <w:t>Հոդված 14</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1. Կողմերի միջեւ սույն Համաձայնագրի դրույթների մեկնաբանման եւ (կամ) կիրառման հետ կապված վեճերը կարգավորվում են, առաջին հերթին, բանակցությունների եւ խորհրդակցությունների միջոցով։</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2. Եթե Կողմերը բանակցությունների եւ խորհրդակցությունների միջոցով չեն կարգավորում վեճը՝ դրանց անցկացման վերաբերյալ վեճի Կողմերից մեկից մյուսին ուղղված պաշտոնական գրավոր խնդրանքի ներկայացման օրվանից հետո վեց ամսվա ընթացքում, ապա վեճի կարգավորման միջոցի վերաբերյալ Կողմերի միջեւ այլ պայմանավորվածության բացակայության դեպքում վեճի Կողմերից յուրաքանչյուրը կարող է այդ վեճը հանձնել Եվրասիական տնտեսական համայնքի դատարանի քննությանը։</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3. Մաքսային միության հանձնաժողովը Կողմերին աջակցություն է ցուցաբերում վեճի կարգավորման հարցում՝ նախքան այդ վեճը Եվրասիական տնտեսական համայնքի դատարանի քննությանը հանձնելը։</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16" w:name="Par104"/>
      <w:bookmarkEnd w:id="16"/>
      <w:r w:rsidRPr="00FD503C">
        <w:rPr>
          <w:rFonts w:ascii="GHEA Grapalat" w:hAnsi="GHEA Grapalat" w:cs="GHEA Grapalat"/>
          <w:b/>
          <w:bCs/>
        </w:rPr>
        <w:t>Հոդված 15</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Սույն Համաձայնագրում կարող են կատարվել փոփոխություններ, որոնք ձեւակերպվում են սույն Համաձայնագրի անբաժանելի մաս կազմող առանձին արձանագրություններով։</w:t>
      </w:r>
    </w:p>
    <w:p w:rsidR="005C2F6B" w:rsidRPr="00FD503C" w:rsidRDefault="005C2F6B" w:rsidP="00FD503C">
      <w:pPr>
        <w:spacing w:after="160" w:line="240" w:lineRule="auto"/>
        <w:ind w:firstLine="567"/>
        <w:jc w:val="both"/>
        <w:rPr>
          <w:rFonts w:ascii="GHEA Grapalat" w:hAnsi="GHEA Grapalat" w:cs="GHEA Grapalat"/>
        </w:rPr>
      </w:pPr>
    </w:p>
    <w:p w:rsidR="005C2F6B" w:rsidRPr="00FD503C" w:rsidRDefault="005C2F6B" w:rsidP="00FD503C">
      <w:pPr>
        <w:spacing w:after="160" w:line="240" w:lineRule="auto"/>
        <w:ind w:firstLine="567"/>
        <w:jc w:val="center"/>
        <w:rPr>
          <w:rFonts w:ascii="GHEA Grapalat" w:hAnsi="GHEA Grapalat" w:cs="GHEA Grapalat"/>
          <w:b/>
          <w:bCs/>
        </w:rPr>
      </w:pPr>
      <w:bookmarkStart w:id="17" w:name="Par108"/>
      <w:bookmarkEnd w:id="17"/>
      <w:r w:rsidRPr="00FD503C">
        <w:rPr>
          <w:rFonts w:ascii="GHEA Grapalat" w:hAnsi="GHEA Grapalat" w:cs="GHEA Grapalat"/>
          <w:b/>
          <w:bCs/>
        </w:rPr>
        <w:t>Հոդված 16</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Սույն Համաձայնագիրը ենթակա է վավերացման եւ ժամանակավորապես կիրառվում է «Մաքսային միության մաքսային օրենսգրքի մասին» 2009 թվականի նոյեմբերի 27-ի պայմանագիրը ուժի մեջ մտնելու օրվանից։</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Սույն Համաձայնագիրն ուժի մեջ է մտնում Կողմերի պետությունների կողմից սույն Համաձայնագիրն ուժի մեջ մտնելու համար անհրաժեշտ ներպետական ընթացակարգերը կատարելու մասին ավանդապահի կողմից վերջին գրավոր ծանուցումը դիվանագիտական ուղիներով ստանալու օրվանից։</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Կատարված է Սանկտ Պետերբուրգ քաղաքում, 2010 թվականի մայիսի 21–ին, մեկ բնօրինակով՝ ռուսերեն։</w:t>
      </w:r>
    </w:p>
    <w:p w:rsidR="005C2F6B" w:rsidRPr="00FD503C" w:rsidRDefault="005C2F6B" w:rsidP="00FD503C">
      <w:pPr>
        <w:spacing w:after="160" w:line="240" w:lineRule="auto"/>
        <w:ind w:firstLine="567"/>
        <w:jc w:val="both"/>
        <w:rPr>
          <w:rFonts w:ascii="GHEA Grapalat" w:hAnsi="GHEA Grapalat" w:cs="GHEA Grapalat"/>
        </w:rPr>
      </w:pPr>
      <w:r w:rsidRPr="00FD503C">
        <w:rPr>
          <w:rFonts w:ascii="GHEA Grapalat" w:hAnsi="GHEA Grapalat" w:cs="GHEA Grapalat"/>
        </w:rPr>
        <w:t>Սույն Համաձայնագրի բնօրինակը պահվում է Մաքսային միության Հանձնաժողովում, որը յուրաքանչյուր Կողմին կտրամադրի դրա վավերացված օրինակը։</w:t>
      </w:r>
    </w:p>
    <w:p w:rsidR="005C2F6B" w:rsidRPr="00FD503C" w:rsidRDefault="005C2F6B" w:rsidP="00FD503C">
      <w:pPr>
        <w:spacing w:after="160" w:line="240" w:lineRule="auto"/>
        <w:ind w:firstLine="567"/>
        <w:jc w:val="both"/>
        <w:rPr>
          <w:rFonts w:ascii="GHEA Grapalat" w:hAnsi="GHEA Grapalat" w:cs="GHEA Grapalat"/>
        </w:rPr>
      </w:pPr>
    </w:p>
    <w:tbl>
      <w:tblPr>
        <w:tblW w:w="0" w:type="auto"/>
        <w:tblInd w:w="-106" w:type="dxa"/>
        <w:tblLook w:val="01E0"/>
      </w:tblPr>
      <w:tblGrid>
        <w:gridCol w:w="3195"/>
        <w:gridCol w:w="3196"/>
        <w:gridCol w:w="3180"/>
      </w:tblGrid>
      <w:tr w:rsidR="005C2F6B" w:rsidRPr="00FD503C" w:rsidTr="00A122F7">
        <w:tc>
          <w:tcPr>
            <w:tcW w:w="3284" w:type="dxa"/>
          </w:tcPr>
          <w:p w:rsidR="005C2F6B" w:rsidRPr="00FD503C" w:rsidRDefault="005C2F6B" w:rsidP="00A122F7">
            <w:pPr>
              <w:spacing w:after="0" w:line="240" w:lineRule="auto"/>
              <w:jc w:val="center"/>
              <w:rPr>
                <w:rFonts w:ascii="GHEA Grapalat" w:hAnsi="GHEA Grapalat" w:cs="GHEA Grapalat"/>
                <w:b/>
                <w:bCs/>
              </w:rPr>
            </w:pPr>
            <w:r w:rsidRPr="00FD503C">
              <w:rPr>
                <w:rFonts w:ascii="GHEA Grapalat" w:hAnsi="GHEA Grapalat" w:cs="GHEA Grapalat"/>
                <w:b/>
                <w:bCs/>
              </w:rPr>
              <w:t>Բելառուսի Հանրապետության Կառավարության կողմից</w:t>
            </w:r>
          </w:p>
          <w:p w:rsidR="005C2F6B" w:rsidRPr="00FD503C" w:rsidRDefault="005C2F6B" w:rsidP="00A122F7">
            <w:pPr>
              <w:spacing w:after="0" w:line="240" w:lineRule="auto"/>
              <w:jc w:val="center"/>
              <w:rPr>
                <w:rFonts w:ascii="GHEA Grapalat" w:hAnsi="GHEA Grapalat" w:cs="GHEA Grapalat"/>
              </w:rPr>
            </w:pPr>
          </w:p>
          <w:p w:rsidR="005C2F6B" w:rsidRPr="00FD503C" w:rsidRDefault="005C2F6B" w:rsidP="00A122F7">
            <w:pPr>
              <w:spacing w:after="0" w:line="240" w:lineRule="auto"/>
              <w:jc w:val="center"/>
              <w:rPr>
                <w:rFonts w:ascii="GHEA Grapalat" w:hAnsi="GHEA Grapalat" w:cs="GHEA Grapalat"/>
              </w:rPr>
            </w:pPr>
            <w:r w:rsidRPr="00FD503C">
              <w:rPr>
                <w:rFonts w:ascii="GHEA Grapalat" w:hAnsi="GHEA Grapalat" w:cs="GHEA Grapalat"/>
              </w:rPr>
              <w:t>(ստորագրություն)</w:t>
            </w:r>
          </w:p>
        </w:tc>
        <w:tc>
          <w:tcPr>
            <w:tcW w:w="3285" w:type="dxa"/>
          </w:tcPr>
          <w:p w:rsidR="005C2F6B" w:rsidRPr="00FD503C" w:rsidRDefault="005C2F6B" w:rsidP="00A122F7">
            <w:pPr>
              <w:spacing w:after="0" w:line="240" w:lineRule="auto"/>
              <w:jc w:val="center"/>
              <w:rPr>
                <w:rFonts w:ascii="GHEA Grapalat" w:hAnsi="GHEA Grapalat" w:cs="GHEA Grapalat"/>
                <w:b/>
                <w:bCs/>
              </w:rPr>
            </w:pPr>
            <w:r w:rsidRPr="00FD503C">
              <w:rPr>
                <w:rFonts w:ascii="GHEA Grapalat" w:hAnsi="GHEA Grapalat" w:cs="GHEA Grapalat"/>
                <w:b/>
                <w:bCs/>
              </w:rPr>
              <w:t>Ղազախստանի Հանրապետության Կառավարության կողմից</w:t>
            </w:r>
          </w:p>
          <w:p w:rsidR="005C2F6B" w:rsidRPr="00FD503C" w:rsidRDefault="005C2F6B" w:rsidP="00A122F7">
            <w:pPr>
              <w:spacing w:after="0" w:line="240" w:lineRule="auto"/>
              <w:jc w:val="center"/>
              <w:rPr>
                <w:rFonts w:ascii="GHEA Grapalat" w:hAnsi="GHEA Grapalat" w:cs="GHEA Grapalat"/>
              </w:rPr>
            </w:pPr>
          </w:p>
          <w:p w:rsidR="005C2F6B" w:rsidRPr="00FD503C" w:rsidRDefault="005C2F6B" w:rsidP="00A122F7">
            <w:pPr>
              <w:spacing w:after="0" w:line="240" w:lineRule="auto"/>
              <w:jc w:val="center"/>
              <w:rPr>
                <w:rFonts w:ascii="GHEA Grapalat" w:hAnsi="GHEA Grapalat" w:cs="GHEA Grapalat"/>
              </w:rPr>
            </w:pPr>
            <w:r w:rsidRPr="00FD503C">
              <w:rPr>
                <w:rFonts w:ascii="GHEA Grapalat" w:hAnsi="GHEA Grapalat" w:cs="GHEA Grapalat"/>
              </w:rPr>
              <w:t>(ստորագրություն)</w:t>
            </w:r>
          </w:p>
        </w:tc>
        <w:tc>
          <w:tcPr>
            <w:tcW w:w="3285" w:type="dxa"/>
          </w:tcPr>
          <w:p w:rsidR="005C2F6B" w:rsidRPr="00FD503C" w:rsidRDefault="005C2F6B" w:rsidP="00A122F7">
            <w:pPr>
              <w:spacing w:after="0" w:line="240" w:lineRule="auto"/>
              <w:jc w:val="center"/>
              <w:rPr>
                <w:rFonts w:ascii="GHEA Grapalat" w:hAnsi="GHEA Grapalat" w:cs="GHEA Grapalat"/>
                <w:b/>
                <w:bCs/>
              </w:rPr>
            </w:pPr>
            <w:r w:rsidRPr="00FD503C">
              <w:rPr>
                <w:rFonts w:ascii="GHEA Grapalat" w:hAnsi="GHEA Grapalat" w:cs="GHEA Grapalat"/>
                <w:b/>
                <w:bCs/>
              </w:rPr>
              <w:t>Ռուսաստանի Դաշնության Կառավարության կողմից</w:t>
            </w:r>
          </w:p>
          <w:p w:rsidR="005C2F6B" w:rsidRPr="00FD503C" w:rsidRDefault="005C2F6B" w:rsidP="00A122F7">
            <w:pPr>
              <w:spacing w:after="0" w:line="240" w:lineRule="auto"/>
              <w:rPr>
                <w:rFonts w:ascii="GHEA Grapalat" w:hAnsi="GHEA Grapalat" w:cs="GHEA Grapalat"/>
              </w:rPr>
            </w:pPr>
          </w:p>
          <w:p w:rsidR="005C2F6B" w:rsidRPr="00FD503C" w:rsidRDefault="005C2F6B" w:rsidP="00A122F7">
            <w:pPr>
              <w:spacing w:after="0" w:line="240" w:lineRule="auto"/>
              <w:jc w:val="center"/>
              <w:rPr>
                <w:rFonts w:ascii="GHEA Grapalat" w:hAnsi="GHEA Grapalat" w:cs="GHEA Grapalat"/>
              </w:rPr>
            </w:pPr>
            <w:r w:rsidRPr="00FD503C">
              <w:rPr>
                <w:rFonts w:ascii="GHEA Grapalat" w:hAnsi="GHEA Grapalat" w:cs="GHEA Grapalat"/>
              </w:rPr>
              <w:t>(ստորագրություն)</w:t>
            </w:r>
          </w:p>
        </w:tc>
      </w:tr>
    </w:tbl>
    <w:p w:rsidR="005C2F6B" w:rsidRPr="00FD503C" w:rsidRDefault="005C2F6B" w:rsidP="00FD503C">
      <w:pPr>
        <w:spacing w:after="160" w:line="240" w:lineRule="auto"/>
        <w:ind w:firstLine="567"/>
        <w:jc w:val="both"/>
        <w:rPr>
          <w:rFonts w:ascii="GHEA Grapalat" w:hAnsi="GHEA Grapalat" w:cs="GHEA Grapalat"/>
        </w:rPr>
      </w:pPr>
    </w:p>
    <w:sectPr w:rsidR="005C2F6B" w:rsidRPr="00FD503C" w:rsidSect="003D67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51C4"/>
    <w:rsid w:val="000308AA"/>
    <w:rsid w:val="000674F3"/>
    <w:rsid w:val="00091F04"/>
    <w:rsid w:val="000B3BE7"/>
    <w:rsid w:val="00283A61"/>
    <w:rsid w:val="002B51C4"/>
    <w:rsid w:val="00303DF2"/>
    <w:rsid w:val="003D6738"/>
    <w:rsid w:val="005112D7"/>
    <w:rsid w:val="0055751B"/>
    <w:rsid w:val="005C2F6B"/>
    <w:rsid w:val="00622BA3"/>
    <w:rsid w:val="00A122F7"/>
    <w:rsid w:val="00A16E89"/>
    <w:rsid w:val="00BE7551"/>
    <w:rsid w:val="00CF3E80"/>
    <w:rsid w:val="00DA1C56"/>
    <w:rsid w:val="00E760BB"/>
    <w:rsid w:val="00FB6EEC"/>
    <w:rsid w:val="00FD503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Cell">
    <w:name w:val="ConsPlusCell"/>
    <w:uiPriority w:val="99"/>
    <w:rsid w:val="002B51C4"/>
    <w:pPr>
      <w:widowControl w:val="0"/>
      <w:autoSpaceDE w:val="0"/>
      <w:autoSpaceDN w:val="0"/>
      <w:adjustRightInd w:val="0"/>
    </w:pPr>
    <w:rPr>
      <w:rFonts w:eastAsia="Times New Roman" w:cs="Calibri"/>
      <w:lang w:val="hy-AM" w:eastAsia="hy-AM"/>
    </w:rPr>
  </w:style>
  <w:style w:type="character" w:styleId="Hyperlink">
    <w:name w:val="Hyperlink"/>
    <w:basedOn w:val="DefaultParagraphFont"/>
    <w:uiPriority w:val="99"/>
    <w:rPr>
      <w:color w:val="0000FF"/>
      <w:u w:val="single"/>
      <w:lang w:val="hy-AM" w:eastAsia="hy-AM"/>
    </w:rPr>
  </w:style>
  <w:style w:type="table" w:styleId="TableGrid">
    <w:name w:val="Table Grid"/>
    <w:basedOn w:val="TableNormal"/>
    <w:uiPriority w:val="99"/>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6</Pages>
  <Words>1831</Words>
  <Characters>10440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Мирзаева Агата Сергеевна</dc:creator>
  <cp:keywords/>
  <dc:description/>
  <cp:lastModifiedBy>LEGAL</cp:lastModifiedBy>
  <cp:revision>3</cp:revision>
  <dcterms:created xsi:type="dcterms:W3CDTF">2014-10-23T17:08:00Z</dcterms:created>
  <dcterms:modified xsi:type="dcterms:W3CDTF">2014-10-28T05:43:00Z</dcterms:modified>
</cp:coreProperties>
</file>