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D42" w:rsidRPr="00EE0B53" w:rsidRDefault="00417D42" w:rsidP="00FD45DD">
      <w:pPr>
        <w:spacing w:after="160" w:line="240" w:lineRule="auto"/>
        <w:jc w:val="center"/>
        <w:rPr>
          <w:rFonts w:ascii="GHEA Grapalat" w:hAnsi="GHEA Grapalat" w:cs="GHEA Grapalat"/>
          <w:b/>
          <w:bCs/>
          <w:sz w:val="24"/>
          <w:szCs w:val="24"/>
        </w:rPr>
      </w:pPr>
      <w:r w:rsidRPr="00EE0B53">
        <w:rPr>
          <w:rFonts w:ascii="GHEA Grapalat" w:hAnsi="GHEA Grapalat" w:cs="GHEA Grapalat"/>
          <w:b/>
          <w:bCs/>
          <w:sz w:val="24"/>
          <w:szCs w:val="24"/>
        </w:rPr>
        <w:t>ՀԱՄԱՁԱՅՆԱԳԻՐ</w:t>
      </w:r>
    </w:p>
    <w:p w:rsidR="00417D42" w:rsidRPr="00FD45DD" w:rsidRDefault="00417D42" w:rsidP="00FD45DD">
      <w:pPr>
        <w:spacing w:after="160" w:line="240" w:lineRule="auto"/>
        <w:jc w:val="center"/>
        <w:rPr>
          <w:rFonts w:ascii="GHEA Grapalat" w:hAnsi="GHEA Grapalat" w:cs="GHEA Grapalat"/>
          <w:b/>
          <w:bCs/>
          <w:sz w:val="24"/>
          <w:szCs w:val="24"/>
        </w:rPr>
      </w:pPr>
      <w:r w:rsidRPr="00EE0B53">
        <w:rPr>
          <w:rFonts w:ascii="GHEA Grapalat" w:hAnsi="GHEA Grapalat" w:cs="GHEA Grapalat"/>
          <w:b/>
          <w:bCs/>
          <w:sz w:val="24"/>
          <w:szCs w:val="24"/>
        </w:rPr>
        <w:t>ՄԱՔՍԱՅԻՆ ՄԻՈՒԹՅԱՆ ԱՆԴԱՄ ՊԵՏՈՒԹՅՈՒՆՆԵՐԻ ՄՏԱՎՈՐ ՍԵՓԱԿԱՆՈՒԹՅԱՆ ՕԲՅԵԿՏՆԵՐԻ ՄԻԱՍՆԱԿԱՆ ՄԱՔՍԱՅԻՆ ՌԵԵՍՏՐԻ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Եվրասիական տնտեսական համայնքի շրջանակներում Մաքսային միության անդամ պետությունների կառավարությունները (այսուհետ՝ Կողմեր),</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ելնելով «Մաքսային միության մաքսային օրենսգրքի մասին» 2009 թվականի նոյեմբերի 27-ի պայմանագրի կիրարկման նպատակներից,</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նպատակ ունենալով ապահովել Մաքսային միության մաքսային տարածքում մաքսային կարգավորումը,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համաձայնեցին հետեւյալի մասին.</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0" w:name="Par12"/>
      <w:bookmarkEnd w:id="0"/>
      <w:r w:rsidRPr="00EE0B53">
        <w:rPr>
          <w:rFonts w:ascii="GHEA Grapalat" w:hAnsi="GHEA Grapalat" w:cs="GHEA Grapalat"/>
          <w:b/>
          <w:bCs/>
          <w:sz w:val="24"/>
          <w:szCs w:val="24"/>
        </w:rPr>
        <w:t>Հոդված 1</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Սույն Համաձայնագիրը սահմանում է.</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Մաքսային միության անդամ պետությունների մտավոր սեփականության օբյեկտների միասնական մաքսային ռեեստրի (այսուհետ՝ Միասնական ռեեստր) վարման կարգը,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հեղինակային եւ հարակից իրավունքները, ապրանքային նշանները եւ սպասարկման նշանները (այսուհետ՝ մտավոր սեփականության օբյեկտներ) Միասնական ռեեստրում ընդգրկելու կարգը,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Մաքսային միության անդամ պետությունների մաքսային մարմինների միջեւ, ինչպես նաեւ իրավատերերի կամ նրանց շահերը ներկայացնող անձանց (այսուհետ՝ իրավատեր), պետական մարմինների, այլ կազմակերպությունների, հաստատությունների եւ քաղաքացիների հետ համագործակցության իրականացման կարգը՝ Միասնական ռեեստրի վարման հետ կապված հարցերով։</w:t>
      </w:r>
    </w:p>
    <w:p w:rsidR="00417D42" w:rsidRPr="00EE0B53" w:rsidRDefault="00417D42" w:rsidP="00FD45DD">
      <w:pPr>
        <w:spacing w:after="0" w:line="240" w:lineRule="auto"/>
        <w:rPr>
          <w:rFonts w:ascii="GHEA Grapalat" w:hAnsi="GHEA Grapalat" w:cs="GHEA Grapalat"/>
          <w:b/>
          <w:bCs/>
          <w:sz w:val="24"/>
          <w:szCs w:val="24"/>
        </w:rPr>
      </w:pPr>
      <w:bookmarkStart w:id="1" w:name="Par19"/>
      <w:bookmarkEnd w:id="1"/>
    </w:p>
    <w:p w:rsidR="00417D42" w:rsidRPr="00EE0B53" w:rsidRDefault="00417D42" w:rsidP="00FD45DD">
      <w:pPr>
        <w:spacing w:after="160" w:line="240" w:lineRule="auto"/>
        <w:jc w:val="center"/>
        <w:rPr>
          <w:rFonts w:ascii="GHEA Grapalat" w:hAnsi="GHEA Grapalat" w:cs="GHEA Grapalat"/>
          <w:b/>
          <w:bCs/>
          <w:sz w:val="24"/>
          <w:szCs w:val="24"/>
        </w:rPr>
      </w:pPr>
      <w:r w:rsidRPr="00EE0B53">
        <w:rPr>
          <w:rFonts w:ascii="GHEA Grapalat" w:hAnsi="GHEA Grapalat" w:cs="GHEA Grapalat"/>
          <w:b/>
          <w:bCs/>
          <w:sz w:val="24"/>
          <w:szCs w:val="24"/>
        </w:rPr>
        <w:t>Հոդված 2</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Սույն Համաձայնագրի նպատակներից ելնելով՝ կենտրոնական մաքսային մարմիններ են համարվում. Բելառուսի Հանրապետության կողմից՝ Պետական մաքսային կոմիտեն, Ղազախստանի Հանրապետության կողմից՝ Ղազախստանի Հանրապետության Ֆինանսների նախարարության մաքսային հսկողության կոմիտեն, Ռուսաստանի Դաշնության կողմից՝ Դաշնային մաքսային ծառայությունը։</w:t>
      </w:r>
    </w:p>
    <w:p w:rsidR="00417D42" w:rsidRPr="00EE0B53" w:rsidRDefault="00417D42" w:rsidP="00FD45DD">
      <w:pPr>
        <w:spacing w:after="160" w:line="240" w:lineRule="auto"/>
        <w:jc w:val="center"/>
        <w:rPr>
          <w:rFonts w:ascii="GHEA Grapalat" w:hAnsi="GHEA Grapalat" w:cs="GHEA Grapalat"/>
          <w:sz w:val="24"/>
          <w:szCs w:val="24"/>
        </w:rPr>
      </w:pPr>
      <w:bookmarkStart w:id="2" w:name="Par23"/>
      <w:bookmarkEnd w:id="2"/>
    </w:p>
    <w:p w:rsidR="00417D42" w:rsidRPr="00EE0B53" w:rsidRDefault="00417D42" w:rsidP="00FD45DD">
      <w:pPr>
        <w:spacing w:after="160" w:line="240" w:lineRule="auto"/>
        <w:jc w:val="center"/>
        <w:rPr>
          <w:rFonts w:ascii="GHEA Grapalat" w:hAnsi="GHEA Grapalat" w:cs="GHEA Grapalat"/>
          <w:b/>
          <w:bCs/>
          <w:sz w:val="24"/>
          <w:szCs w:val="24"/>
        </w:rPr>
      </w:pPr>
      <w:r w:rsidRPr="00EE0B53">
        <w:rPr>
          <w:rFonts w:ascii="GHEA Grapalat" w:hAnsi="GHEA Grapalat" w:cs="GHEA Grapalat"/>
          <w:b/>
          <w:bCs/>
          <w:sz w:val="24"/>
          <w:szCs w:val="24"/>
        </w:rPr>
        <w:t>Հոդված 3</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1. Իրավատիրոջ դիմումի հիման վրա Միասնական ռեեստրում ընդգրկվում են Մաքսային միության անդամ պետություններից յուրաքանչյուրում իրավական պաշտպանության ենթակա մտավոր սեփականության օբյեկտները։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2. Իրավատերը, որը բավարար հիմքեր ունի ենթադրելու, որ Մաքսային միության մաքսային սահմանով ապրանքների տեղափոխման կամ մաքսային հսկողության տակ գտնվող ապրանքների հետ այլ գործողությունների կատարման հետ կապված մտավոր սեփականության ոլորտում, Մաքսային միության անդամ պետությունների օրենսդրության եւ (կամ) Մաքսային միության օրենսդրության համաձայն, կարող են տեղի ունենալ իր իրավունքների խախտումներ, իրավունք ունի դիմում ներկայացնել մտավոր սեփականության օբյեկտը Միասնական ռեեստրի մեջ ընդգրկելու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3. Դիմումը գրավոր ձեւով ներկայացվում է Մաքսային միության անդամ պետություններից մեկի կենտրոնական մաքսային մարմին։ Տեխնիկական հնարավորության առկայության դեպքում, դիմումը կարող է ներկայացվել էլեկտրոնային եղանակով։</w:t>
      </w:r>
    </w:p>
    <w:p w:rsidR="00417D42" w:rsidRPr="00EE0B53" w:rsidRDefault="00417D42" w:rsidP="00FD45DD">
      <w:pPr>
        <w:spacing w:after="160" w:line="240" w:lineRule="auto"/>
        <w:ind w:firstLine="567"/>
        <w:rPr>
          <w:rFonts w:ascii="GHEA Grapalat" w:hAnsi="GHEA Grapalat" w:cs="GHEA Grapalat"/>
          <w:sz w:val="24"/>
          <w:szCs w:val="24"/>
        </w:rPr>
      </w:pPr>
      <w:r w:rsidRPr="00EE0B53">
        <w:rPr>
          <w:rFonts w:ascii="GHEA Grapalat" w:hAnsi="GHEA Grapalat" w:cs="GHEA Grapalat"/>
          <w:sz w:val="24"/>
          <w:szCs w:val="24"/>
        </w:rPr>
        <w:t xml:space="preserve">Դիմումը ներկայացվում է մեկ իրավատիրոջ (մի քանի իրավատերերի) անունից, մտավոր սեփականության մեկ տեսակի օբյեկտի առնչությամբ։ Մեկ դիմումի մեջ չի թույլատրվում տեղեկություններ նշել մտավոր սեփականության միաժամանակ տարբեր տեսակի օբյեկտների մասին, եթե անգամ մտավոր սեփականության այդ օբյեկտները պատկանում են մեկ իրավատիրոջ (նույն իրավատերերին)։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Անձը, որը ներկայացնում է տարբեր իրավատերերի շահերը մտավոր սեփականության նույն տեսակի տարբեր օբյեկտների առնչությամբ, պետք է առանձին դիմումներ կազմի տարբեր իրավատերերի պատկանող մտավոր սեփականության տարբեր օբյեկտների առնչությամբ։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4. Մաքսային միության մաքսային տարածքում մշտական ներկայացուցչություն չունեցող իրավատիրոջ անունից ներկայացված դիմումը կարող է տրամադրվել Մաքսային միության անդամ պետություններից մեկի տարածքում մշտապես գտնվող (գրանցված) անձանց միջոցով։</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3" w:name="Par32"/>
      <w:bookmarkEnd w:id="3"/>
      <w:r w:rsidRPr="00EE0B53">
        <w:rPr>
          <w:rFonts w:ascii="GHEA Grapalat" w:hAnsi="GHEA Grapalat" w:cs="GHEA Grapalat"/>
          <w:b/>
          <w:bCs/>
          <w:sz w:val="24"/>
          <w:szCs w:val="24"/>
        </w:rPr>
        <w:t>Հոդված 4</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1. Դիմումը պետք է ներառի տեղեկություններ՝</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իրավատիրոջ մասին, իսկ նրա ներկայացուցչի կողմից այն ներկայացնելու դեպքում՝ նաեւ նրա ներկայացուցչի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մտավոր սեփականության օբյեկտի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այն ապրանքների մասին, որոնց տեղափոխումը Մաքսային միության մաքսային սահմանով կամ մաքսային հսկողության տակ գտնվող ապրանքների հետ իրականացվող այլ գործողությունները, իրավատիրոջ կարծիքով կհանգեցնեն Մաքսային միության անդամ պետությունների օրենսդրության համաձայն պաշտպանվող իր իրավունքների խախտմանը, ինչպես նաեւ այնքան մանրամասն, որքան անհրաժեշտ է մաքսային մարմինների կողմից այդ խախտումները հայտնաբերելու հնարավորությունն ապահովելու համար (ապրանքների արտաքին տեսքի նկարագրություն (դրանց փաթեթավորումը, պիտակները եւ այլն)),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իրավատիրոջ կողմից լիազորված ներմուծողների, արտահանողների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ապրանքների ծածկագրերի մասին՝ առնվազն առաջին չորս նիշերի սահմաններում՝ Արտաքին տնտեսական գործունեության միասնական ապրանքային անվանացանկին համապատասխան,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այն ապրանքների ներմուծման ենթադրյալ վայրերի մասին, որոնց տեղափոխումը Մաքսային միության մաքսային սահմանով կամ մաքսային հսկողության տակ գտնվող ապրանքների հետ այլ գործողություններն իրավատիրոջ կարծիքով կհանգեցնեն Մաքսային միության անդամ պետությունների օրենսդրության համապատասխան պաշտպանվող նրա իրավունքների խախտմանը, ինչպես նաեւ այդ ապրանքների ներմուծողների (արտահանողների) մասին՝ այդպիսի տեղեկատվության առկայության դեպքում,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մտավոր սեփականության օբյեկտների նկատմամբ իրավատիրոջ իրավունքների պաշտպանության ժամկետի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Նշված տեղեկությունները կարող են ձեւակերպվել այդ տվյալները հավաստող փաստաթղթերի պատճենների տեսքով։ Փաստաթղթերի պատճենները ներկայացնելիս կարող են պահանջվել դրանց բնօրինակները, որոնք վերադարձվում են դրանց հետ պատճենների համապատասխանությունը ստուգելուց հետո։</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2. Մտավոր սեփականության օբյեկտների հետ առնչություն ունեցող եւ նկարագրական բնույթ կրող կամ ինչ-որ տվյալների ցանկ կամ հավաքածու ներկայացնող առանձին տեղեկություններ կարող են լրացուցիչ փոխանցվել էլեկտրոնային ձեւով՝ նյութական կրիչի վրա, կամ էլեկտրոնային փոստի միջոցով։</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3. Դիմումին կից ներկայացվում են փաստաթղթեր, որոնք հավաստում են Մաքսային միության անդամ պետություններից յուրաքանչյուրում մտավոր սեփականության օբյեկտների նկատմամբ իրավունքների առկայությունը (հավաստագրեր, իրավունքների փոխանցման մասին պայմանագրեր (այդ թվում՝ արտոնագրային), այլ փաստաթղթեր, որոնք իրավատերը կարող է ներկայացնել Մաքսային միության անդամ պետություններից յուրաքանչյուրում՝ այդ պետությունների օրենսդրությանը համապաստասխան՝ ի հավաստումն մտավոր սեփականության օբյեկտների նկատմամբ իրավունքների առկայության), ինչպես նաեւ դիմումի մեջ մատնանշման ենթակա տեղեկությունները հավաստող փաստաթղթեր։</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Իրավատերը կարող է դիմումին կից ներկայացնել այն ապրանքների նմուշները, որոնք նրա կարծիքով կարող են հիմք ծառայել իր իրավունքների խախտման փաստը հաստատելու համար։</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4. Եթե դիմումը ներկայացվում է իրավատիրոջ շահերը ներկայացնող անձի կողմից, ապա դիմումին կցվում է նաեւ իրավատիրոջ կողմից այդ անձին տրամադրված լիազորագիրը։ Լիազորագիրը պետք է գործի Մաքսային միության ամբողջ տարածքում։</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Եթե Մաքսային միության անդամ պետությունների տարածքներում, մտավոր սեփականության միեւնույն օբյեկտի նկատմամբ իրավունքները պատկանում են տարբեր իրավատերերի, ապա դիմումին պետք է կցվեն յուրաքանչյուր իրավատիրոջ կողմից ներկայացված լիազորագիրը։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5. Դիմումը եւ դրան կից փաստաթղթերը ներկայացվում են ռուսերենով կամ այլ լեզվով։ Փաստաթղթերն այլ լեզվով ներկայացնելու դեպքում, դիմումին կից ներկայացվում է դրանց ռուսերեն թարգմանությունը։</w:t>
      </w:r>
    </w:p>
    <w:p w:rsidR="00417D42" w:rsidRPr="00EE0B53" w:rsidRDefault="00417D42" w:rsidP="00FD45DD">
      <w:pPr>
        <w:spacing w:after="160" w:line="240" w:lineRule="auto"/>
        <w:ind w:firstLine="567"/>
        <w:jc w:val="both"/>
        <w:rPr>
          <w:rFonts w:ascii="GHEA Grapalat" w:hAnsi="GHEA Grapalat" w:cs="GHEA Grapalat"/>
          <w:sz w:val="24"/>
          <w:szCs w:val="24"/>
        </w:rPr>
      </w:pPr>
      <w:bookmarkStart w:id="4" w:name="Par49"/>
      <w:bookmarkEnd w:id="4"/>
      <w:r w:rsidRPr="00EE0B53">
        <w:rPr>
          <w:rFonts w:ascii="GHEA Grapalat" w:hAnsi="GHEA Grapalat" w:cs="GHEA Grapalat"/>
          <w:sz w:val="24"/>
          <w:szCs w:val="24"/>
        </w:rPr>
        <w:t>6. Դիմումի հետ միաժամանակ ներկայացվում է իրավատիրոջ՝ այն նյութական վնասը փոխհատուցելու գրավոր պարտավորությունը, որը նա կարող է պատճառել հայտարարատուին, սեփականատիրոջը, ապրանքները ստացողին կամ այլ անձանց՝ ապրանքների բացթողումը կասեցնելու արդյունքում։</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Եթե Մաքսային միության անդամ պետությունների տարածքներում մտավոր սեփականության միեւնույն օբյեկտի նկատմամբ իրավունքները պատկանում են տարբեր անձանց, ապա դիմումին կից պետք է ներկայացվեն յուրաքանչյուր իրավատիրոջ կողմից ներկայացված պարտավորությունը։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7. Իրավատերը (նրա ներկայացուցիչը) պարտավոր է անմիջապես տեղեկացնել դիմումում կամ դրան կից փաստաթղթերում նշված տեղեկություններում կատարված փոփոխությունների մասին։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8. Եթե դիմումը չի պարունակում սույն Համաձայնագրով նախատեսված փաստաթղթերն ու տվյալները, ապա կենտրոնական մաքսային մարմինները իրավասու են իրավատիրոջից (նրա ներկայացուցչից) պահանջելու որոշում կայացնելու համար անհրաժեշտ փաստաթղթերը եւ տվյալները։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Մեկ ամսվա ընթացքում այդպիսի փաստաթղթեր եւ տեղեկություններ չներկայացնելու դեպքում՝ Մաքսային միության անդամ պետությունների կենտրոնական մաքսային մարմինները իրավասու են մերժել քննարկելու դիմումը։ </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5" w:name="Par55"/>
      <w:bookmarkEnd w:id="5"/>
      <w:r w:rsidRPr="00EE0B53">
        <w:rPr>
          <w:rFonts w:ascii="GHEA Grapalat" w:hAnsi="GHEA Grapalat" w:cs="GHEA Grapalat"/>
          <w:b/>
          <w:bCs/>
          <w:sz w:val="24"/>
          <w:szCs w:val="24"/>
        </w:rPr>
        <w:t>Հոդված 5</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1. Դիմումի քննարկումը եւ որոշումների ընդունումը՝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 xml:space="preserve">Միասնական ռեեստրում մտավոր սեփականության օբյեկտներ ընդգրկելու մասին, </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Միասնական ռեեստրում մտավոր սեփականության օբյեկտների ընդգրկումը մերժելու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Միասնական ռեեստրում փոփոխություններ եւ լրացումներ կատարելու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Միասնական ռեեստրում ընգրկելու ժամկետը երկարաձգելու մասին,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Միասնական ռեեստրից մտավոր սեփականության օբյեկտները հանելու մասին՝ իրականացվում է «Մտավոր սեփականության օբյեկտների միասնական մաքսային ռեեստրը վարելու հարցերով Մաքսային միության անդամ պետությունների միջեւ համագործակցության մասին» կանոնակարգին (այսուհետ՝ Կանոնակարգ) համապատասխան։</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Կանոնակարգը հաստատվում է Մաքսային միության հանձնաժողովի որոշմամբ։</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2. Մաքսային միության հանձնաժողովը սահմանում է Միասնական ռեեստրը վարելու համար լիազորված մարմնին։</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6" w:name="Par66"/>
      <w:bookmarkEnd w:id="6"/>
      <w:r w:rsidRPr="00EE0B53">
        <w:rPr>
          <w:rFonts w:ascii="GHEA Grapalat" w:hAnsi="GHEA Grapalat" w:cs="GHEA Grapalat"/>
          <w:b/>
          <w:bCs/>
          <w:sz w:val="24"/>
          <w:szCs w:val="24"/>
        </w:rPr>
        <w:t>Հոդված 6</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1. Սույն Համաձայնագրի 4-րդ հոդվածի 6-րդ կետով նախատեսված պարտավորությունների կատարումը երաշխավորելու նպատակներով՝ իրավատերը պարտավորվում է, մտավոր սեփականության օբյեկները Միասնական ռեեստրում ընդգրկելու մասին որոշում կայացնելու վերաբերյալ ծանուցումն ուղարկելու օրվանից սկսած մեկ ամսվա ընթացքում, ներկայացնել ապրանքների բացթողումը կասեցնելու հետ կապված՝ անձանց նյութական վնաս պատճառելուց բխող պատասխանատվությունն ապահովագրելու վերաբերյալ պայմանագիր (պայմանագրեր), որը (որոնք) իրավաբանական ուժ ունեն Մաքսային միության բոլոր անդամ պետություններում։</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Ընդ որում, ապահովագրական գումարը պետք է լինի 10 (տասը) հազար եվրոյից ոչ պակաս։</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2. Մաքսային մարմիններում իրավատիրոջ շահերը ներկայացնող՝ պատշաճ կերպով ձեւակերպված լիազորագրի կամ այդպիսի լիազորությունները պատվիրակող այլ փաստաթղթի առկայության դեպքում՝ պարտավորությունը եւ նյութական վնաս հասցնելուց բխող պատասխանատվությունը ապահովագրելու վերաբերյալ պայմանագիրը (պայմանագրերը) կարող են ձեւակերպվել եւ ներկայացվել իրավատիրոջ ներկայացուցչի կողմից։</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3. Նյութական վնաս հասցնելուց բխող պատասխանատվությունն ապահովագրելու պայմանագիր (պայմանագրեր) չներկայացնելու դեպքում՝ Միասնական ռեեստրում ընգրկելը մերժելու որոշում է կայացվում, ինչի մասին դիմողին ծանուցվում է գրավոր կերպով՝ այդպիսի որոշում ընդունելու օրվանից հինգ աշխատանքային օրվաընթացքում։</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4. Միասնական ռեեստրում մտավոր սեփականության օբյեկտների ընդգրկման համար վճար չի գանձվում։</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5. Միասնական ռեեստր մուտքագրված մտավոր սեփականության օբյեկտների ցանկը հրապարակվում է Մաքսային միության հանձնաժողովի եւ Մաքսային միության անդամ պետությունների մաքսային մարմինների պաշտոնական հրատարակություններում եւ համացանցի պաշտոնական կայքերում։</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7" w:name="Par75"/>
      <w:bookmarkEnd w:id="7"/>
      <w:r w:rsidRPr="00EE0B53">
        <w:rPr>
          <w:rFonts w:ascii="GHEA Grapalat" w:hAnsi="GHEA Grapalat" w:cs="GHEA Grapalat"/>
          <w:b/>
          <w:bCs/>
          <w:sz w:val="24"/>
          <w:szCs w:val="24"/>
        </w:rPr>
        <w:t>Հոդված 7</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Մտավոր սեփականության օբյեկտների նկատմամբ իրավատիրոջ իրավունքների պաշտպանության ժամկետը, որը սահմանվում է Միասնական ռեեստրում ընդգրկելիս, չի կարող գերազանցել Մաքսային միության այն անդամ պետությունում մտավոր սեփականության օբյեկտի իրավական պաշտպանության ժամկետը, որում այդ ժամկետը լրանում է ավելի վաղ։</w:t>
      </w:r>
    </w:p>
    <w:p w:rsidR="00417D42" w:rsidRPr="00EE0B53" w:rsidRDefault="00417D42" w:rsidP="00FD45DD">
      <w:pPr>
        <w:spacing w:after="160" w:line="240" w:lineRule="auto"/>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8" w:name="Par79"/>
      <w:bookmarkEnd w:id="8"/>
      <w:r w:rsidRPr="00EE0B53">
        <w:rPr>
          <w:rFonts w:ascii="GHEA Grapalat" w:hAnsi="GHEA Grapalat" w:cs="GHEA Grapalat"/>
          <w:b/>
          <w:bCs/>
          <w:sz w:val="24"/>
          <w:szCs w:val="24"/>
        </w:rPr>
        <w:t>Հոդված 8</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2. Եթե վեճի կողմերը խորհրդակցությունների ու բանակցությունների միջոցով չեն կարգավորում վեճը դրանց անցկացման վերաբերյալ վեճի կողմերից մեկի կողմից վեճի մյուս կողմին պաշտոնական գրավոր պահանջ ներկայացնելու օրվանից հետո 6 ամսվա ընթացքում, ապա, վեճի կարգավորման միջոցի վերաբերյալ Կողմերի միջեւ այլ պայմանավորվածության բացակայության դեպքում, վեճի կողմերից յուրաքանչյուրը կարող է այդ վեճը փոխանցել Եվրասիական տնտեսական համայնքի դատարանի քննությանը։</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3. 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փոխանցելը։</w:t>
      </w:r>
    </w:p>
    <w:p w:rsidR="00417D42" w:rsidRPr="00EE0B53" w:rsidRDefault="00417D42" w:rsidP="00FD45DD">
      <w:pPr>
        <w:spacing w:after="160" w:line="240" w:lineRule="auto"/>
        <w:jc w:val="center"/>
        <w:rPr>
          <w:rFonts w:ascii="GHEA Grapalat" w:hAnsi="GHEA Grapalat" w:cs="GHEA Grapalat"/>
          <w:b/>
          <w:bCs/>
          <w:sz w:val="24"/>
          <w:szCs w:val="24"/>
        </w:rPr>
      </w:pPr>
      <w:bookmarkStart w:id="9" w:name="Par85"/>
      <w:bookmarkEnd w:id="9"/>
    </w:p>
    <w:p w:rsidR="00417D42" w:rsidRPr="00EE0B53" w:rsidRDefault="00417D42" w:rsidP="00FD45DD">
      <w:pPr>
        <w:spacing w:after="160" w:line="240" w:lineRule="auto"/>
        <w:jc w:val="center"/>
        <w:rPr>
          <w:rFonts w:ascii="GHEA Grapalat" w:hAnsi="GHEA Grapalat" w:cs="GHEA Grapalat"/>
          <w:b/>
          <w:bCs/>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r w:rsidRPr="00EE0B53">
        <w:rPr>
          <w:rFonts w:ascii="GHEA Grapalat" w:hAnsi="GHEA Grapalat" w:cs="GHEA Grapalat"/>
          <w:b/>
          <w:bCs/>
          <w:sz w:val="24"/>
          <w:szCs w:val="24"/>
        </w:rPr>
        <w:t>Հոդված 9</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417D42" w:rsidRPr="00EE0B53" w:rsidRDefault="00417D42" w:rsidP="00FD45DD">
      <w:pPr>
        <w:spacing w:after="160" w:line="240" w:lineRule="auto"/>
        <w:jc w:val="both"/>
        <w:rPr>
          <w:rFonts w:ascii="GHEA Grapalat" w:hAnsi="GHEA Grapalat" w:cs="GHEA Grapalat"/>
          <w:sz w:val="24"/>
          <w:szCs w:val="24"/>
        </w:rPr>
      </w:pPr>
    </w:p>
    <w:p w:rsidR="00417D42" w:rsidRPr="00EE0B53" w:rsidRDefault="00417D42" w:rsidP="00FD45DD">
      <w:pPr>
        <w:spacing w:after="160" w:line="240" w:lineRule="auto"/>
        <w:jc w:val="center"/>
        <w:rPr>
          <w:rFonts w:ascii="GHEA Grapalat" w:hAnsi="GHEA Grapalat" w:cs="GHEA Grapalat"/>
          <w:b/>
          <w:bCs/>
          <w:sz w:val="24"/>
          <w:szCs w:val="24"/>
        </w:rPr>
      </w:pPr>
      <w:bookmarkStart w:id="10" w:name="Par89"/>
      <w:bookmarkEnd w:id="10"/>
      <w:r w:rsidRPr="00EE0B53">
        <w:rPr>
          <w:rFonts w:ascii="GHEA Grapalat" w:hAnsi="GHEA Grapalat" w:cs="GHEA Grapalat"/>
          <w:b/>
          <w:bCs/>
          <w:sz w:val="24"/>
          <w:szCs w:val="24"/>
        </w:rPr>
        <w:t>Հոդված 10</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417D42" w:rsidRPr="00EE0B53" w:rsidRDefault="00417D42" w:rsidP="00FD45DD">
      <w:pPr>
        <w:spacing w:after="160" w:line="240" w:lineRule="auto"/>
        <w:ind w:firstLine="567"/>
        <w:rPr>
          <w:rFonts w:ascii="GHEA Grapalat" w:hAnsi="GHEA Grapalat" w:cs="GHEA Grapalat"/>
          <w:sz w:val="24"/>
          <w:szCs w:val="24"/>
        </w:rPr>
      </w:pPr>
    </w:p>
    <w:p w:rsidR="00417D42" w:rsidRPr="00EE0B53" w:rsidRDefault="00417D42" w:rsidP="00FD45DD">
      <w:pPr>
        <w:spacing w:after="160" w:line="240" w:lineRule="auto"/>
        <w:ind w:firstLine="567"/>
        <w:jc w:val="both"/>
        <w:rPr>
          <w:rFonts w:ascii="GHEA Grapalat" w:hAnsi="GHEA Grapalat" w:cs="GHEA Grapalat"/>
          <w:sz w:val="24"/>
          <w:szCs w:val="24"/>
        </w:rPr>
      </w:pPr>
      <w:r w:rsidRPr="00EE0B53">
        <w:rPr>
          <w:rFonts w:ascii="GHEA Grapalat" w:hAnsi="GHEA Grapalat" w:cs="GHEA Grapalat"/>
          <w:sz w:val="24"/>
          <w:szCs w:val="24"/>
        </w:rPr>
        <w:t>Կատարված է Սանկտ Պետերբուրգ քաղաքում, 2010 թվականի մայիսի 21–ին, մեկ բնօրինակից՝ ռուսերենով։</w:t>
      </w:r>
    </w:p>
    <w:p w:rsidR="00417D42" w:rsidRDefault="00417D42" w:rsidP="00FD45DD">
      <w:pPr>
        <w:spacing w:after="160" w:line="240" w:lineRule="auto"/>
        <w:ind w:firstLine="567"/>
        <w:jc w:val="both"/>
        <w:rPr>
          <w:rFonts w:ascii="GHEA Grapalat" w:hAnsi="GHEA Grapalat" w:cs="GHEA Grapalat"/>
          <w:sz w:val="24"/>
          <w:szCs w:val="24"/>
          <w:lang w:val="en-US"/>
        </w:rPr>
      </w:pPr>
      <w:r w:rsidRPr="00EE0B53">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 տրամադրում է դրա հաստատված պատճենը։</w:t>
      </w:r>
      <w:bookmarkStart w:id="11" w:name="_GoBack"/>
      <w:bookmarkEnd w:id="11"/>
    </w:p>
    <w:p w:rsidR="00417D42" w:rsidRDefault="00417D42" w:rsidP="00FD45DD">
      <w:pPr>
        <w:spacing w:after="160" w:line="240" w:lineRule="auto"/>
        <w:ind w:firstLine="567"/>
        <w:jc w:val="both"/>
        <w:rPr>
          <w:rFonts w:ascii="GHEA Grapalat" w:hAnsi="GHEA Grapalat" w:cs="GHEA Grapalat"/>
          <w:sz w:val="24"/>
          <w:szCs w:val="24"/>
          <w:lang w:val="en-US"/>
        </w:rPr>
      </w:pPr>
    </w:p>
    <w:tbl>
      <w:tblPr>
        <w:tblW w:w="0" w:type="auto"/>
        <w:tblInd w:w="-106" w:type="dxa"/>
        <w:tblLook w:val="01E0"/>
      </w:tblPr>
      <w:tblGrid>
        <w:gridCol w:w="3189"/>
        <w:gridCol w:w="3191"/>
        <w:gridCol w:w="3191"/>
      </w:tblGrid>
      <w:tr w:rsidR="00417D42" w:rsidRPr="00C56A3F" w:rsidTr="00A156BC">
        <w:tc>
          <w:tcPr>
            <w:tcW w:w="3284" w:type="dxa"/>
          </w:tcPr>
          <w:p w:rsidR="00417D42" w:rsidRPr="00C95853" w:rsidRDefault="00417D42" w:rsidP="00A156BC">
            <w:pPr>
              <w:spacing w:after="0" w:line="240" w:lineRule="auto"/>
              <w:ind w:firstLine="567"/>
              <w:jc w:val="center"/>
              <w:rPr>
                <w:rFonts w:ascii="GHEA Grapalat" w:hAnsi="GHEA Grapalat" w:cs="GHEA Grapalat"/>
                <w:b/>
                <w:bCs/>
                <w:sz w:val="24"/>
                <w:szCs w:val="24"/>
              </w:rPr>
            </w:pPr>
            <w:r w:rsidRPr="00C95853">
              <w:rPr>
                <w:rFonts w:ascii="GHEA Grapalat" w:hAnsi="GHEA Grapalat" w:cs="GHEA Grapalat"/>
                <w:b/>
                <w:bCs/>
                <w:sz w:val="24"/>
                <w:szCs w:val="24"/>
              </w:rPr>
              <w:t>Բելառուսի Հանրապետության Կառավարության կողմից</w:t>
            </w:r>
          </w:p>
          <w:p w:rsidR="00417D42" w:rsidRPr="00C95853" w:rsidRDefault="00417D42" w:rsidP="00A156BC">
            <w:pPr>
              <w:spacing w:after="0" w:line="240" w:lineRule="auto"/>
              <w:ind w:firstLine="567"/>
              <w:jc w:val="center"/>
              <w:rPr>
                <w:rFonts w:ascii="GHEA Grapalat" w:hAnsi="GHEA Grapalat" w:cs="GHEA Grapalat"/>
                <w:sz w:val="24"/>
                <w:szCs w:val="24"/>
              </w:rPr>
            </w:pPr>
          </w:p>
          <w:p w:rsidR="00417D42" w:rsidRPr="00C95853" w:rsidRDefault="00417D42" w:rsidP="00A156BC">
            <w:pPr>
              <w:spacing w:after="0" w:line="240" w:lineRule="auto"/>
              <w:ind w:firstLine="567"/>
              <w:jc w:val="center"/>
              <w:rPr>
                <w:rFonts w:ascii="GHEA Grapalat" w:hAnsi="GHEA Grapalat" w:cs="GHEA Grapalat"/>
                <w:sz w:val="24"/>
                <w:szCs w:val="24"/>
              </w:rPr>
            </w:pPr>
            <w:r w:rsidRPr="00C95853">
              <w:rPr>
                <w:rFonts w:ascii="GHEA Grapalat" w:hAnsi="GHEA Grapalat" w:cs="GHEA Grapalat"/>
                <w:sz w:val="24"/>
                <w:szCs w:val="24"/>
              </w:rPr>
              <w:t>(ստորագրություն)</w:t>
            </w:r>
          </w:p>
        </w:tc>
        <w:tc>
          <w:tcPr>
            <w:tcW w:w="3285" w:type="dxa"/>
          </w:tcPr>
          <w:p w:rsidR="00417D42" w:rsidRPr="00C95853" w:rsidRDefault="00417D42" w:rsidP="00A156BC">
            <w:pPr>
              <w:spacing w:after="0" w:line="240" w:lineRule="auto"/>
              <w:ind w:firstLine="567"/>
              <w:jc w:val="center"/>
              <w:rPr>
                <w:rFonts w:ascii="GHEA Grapalat" w:hAnsi="GHEA Grapalat" w:cs="GHEA Grapalat"/>
                <w:b/>
                <w:bCs/>
                <w:sz w:val="24"/>
                <w:szCs w:val="24"/>
              </w:rPr>
            </w:pPr>
            <w:r w:rsidRPr="00C95853">
              <w:rPr>
                <w:rFonts w:ascii="GHEA Grapalat" w:hAnsi="GHEA Grapalat" w:cs="GHEA Grapalat"/>
                <w:b/>
                <w:bCs/>
                <w:sz w:val="24"/>
                <w:szCs w:val="24"/>
              </w:rPr>
              <w:t>Ղազախստանի Հանրապետության Կառավարության կողմից</w:t>
            </w:r>
          </w:p>
          <w:p w:rsidR="00417D42" w:rsidRPr="00C95853" w:rsidRDefault="00417D42" w:rsidP="00A156BC">
            <w:pPr>
              <w:spacing w:after="0" w:line="240" w:lineRule="auto"/>
              <w:ind w:firstLine="567"/>
              <w:jc w:val="center"/>
              <w:rPr>
                <w:rFonts w:ascii="GHEA Grapalat" w:hAnsi="GHEA Grapalat" w:cs="GHEA Grapalat"/>
                <w:sz w:val="24"/>
                <w:szCs w:val="24"/>
              </w:rPr>
            </w:pPr>
          </w:p>
          <w:p w:rsidR="00417D42" w:rsidRPr="00C95853" w:rsidRDefault="00417D42" w:rsidP="00A156BC">
            <w:pPr>
              <w:spacing w:after="0" w:line="240" w:lineRule="auto"/>
              <w:ind w:firstLine="567"/>
              <w:jc w:val="center"/>
              <w:rPr>
                <w:rFonts w:ascii="GHEA Grapalat" w:hAnsi="GHEA Grapalat" w:cs="GHEA Grapalat"/>
                <w:sz w:val="24"/>
                <w:szCs w:val="24"/>
              </w:rPr>
            </w:pPr>
            <w:r w:rsidRPr="00C95853">
              <w:rPr>
                <w:rFonts w:ascii="GHEA Grapalat" w:hAnsi="GHEA Grapalat" w:cs="GHEA Grapalat"/>
                <w:sz w:val="24"/>
                <w:szCs w:val="24"/>
              </w:rPr>
              <w:t>(ստորագրություն)</w:t>
            </w:r>
          </w:p>
        </w:tc>
        <w:tc>
          <w:tcPr>
            <w:tcW w:w="3285" w:type="dxa"/>
          </w:tcPr>
          <w:p w:rsidR="00417D42" w:rsidRPr="00C95853" w:rsidRDefault="00417D42" w:rsidP="00A156BC">
            <w:pPr>
              <w:spacing w:after="0" w:line="240" w:lineRule="auto"/>
              <w:ind w:firstLine="567"/>
              <w:jc w:val="center"/>
              <w:rPr>
                <w:rFonts w:ascii="GHEA Grapalat" w:hAnsi="GHEA Grapalat" w:cs="GHEA Grapalat"/>
                <w:b/>
                <w:bCs/>
                <w:sz w:val="24"/>
                <w:szCs w:val="24"/>
              </w:rPr>
            </w:pPr>
            <w:r w:rsidRPr="00C95853">
              <w:rPr>
                <w:rFonts w:ascii="GHEA Grapalat" w:hAnsi="GHEA Grapalat" w:cs="GHEA Grapalat"/>
                <w:b/>
                <w:bCs/>
                <w:sz w:val="24"/>
                <w:szCs w:val="24"/>
              </w:rPr>
              <w:t>Ռուսաստանի Դաշնության Կառավարության կողմից</w:t>
            </w:r>
          </w:p>
          <w:p w:rsidR="00417D42" w:rsidRPr="00C95853" w:rsidRDefault="00417D42" w:rsidP="00A156BC">
            <w:pPr>
              <w:spacing w:after="0" w:line="240" w:lineRule="auto"/>
              <w:ind w:firstLine="567"/>
              <w:rPr>
                <w:rFonts w:ascii="GHEA Grapalat" w:hAnsi="GHEA Grapalat" w:cs="GHEA Grapalat"/>
                <w:sz w:val="24"/>
                <w:szCs w:val="24"/>
              </w:rPr>
            </w:pPr>
          </w:p>
          <w:p w:rsidR="00417D42" w:rsidRPr="00C95853" w:rsidRDefault="00417D42" w:rsidP="00A156BC">
            <w:pPr>
              <w:spacing w:after="0" w:line="240" w:lineRule="auto"/>
              <w:ind w:firstLine="567"/>
              <w:jc w:val="center"/>
              <w:rPr>
                <w:rFonts w:ascii="GHEA Grapalat" w:hAnsi="GHEA Grapalat" w:cs="GHEA Grapalat"/>
                <w:sz w:val="24"/>
                <w:szCs w:val="24"/>
              </w:rPr>
            </w:pPr>
            <w:r w:rsidRPr="00C95853">
              <w:rPr>
                <w:rFonts w:ascii="GHEA Grapalat" w:hAnsi="GHEA Grapalat" w:cs="GHEA Grapalat"/>
                <w:sz w:val="24"/>
                <w:szCs w:val="24"/>
              </w:rPr>
              <w:t>(ստորագրություն)</w:t>
            </w:r>
          </w:p>
        </w:tc>
      </w:tr>
    </w:tbl>
    <w:p w:rsidR="00417D42" w:rsidRPr="00FD45DD" w:rsidRDefault="00417D42" w:rsidP="00FD45DD">
      <w:pPr>
        <w:spacing w:after="160" w:line="240" w:lineRule="auto"/>
        <w:ind w:firstLine="567"/>
        <w:jc w:val="both"/>
        <w:rPr>
          <w:rFonts w:ascii="GHEA Grapalat" w:hAnsi="GHEA Grapalat" w:cs="GHEA Grapalat"/>
          <w:sz w:val="24"/>
          <w:szCs w:val="24"/>
        </w:rPr>
      </w:pPr>
    </w:p>
    <w:sectPr w:rsidR="00417D42" w:rsidRPr="00FD45DD" w:rsidSect="00537B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5676"/>
    <w:rsid w:val="00111DF4"/>
    <w:rsid w:val="001135B7"/>
    <w:rsid w:val="00123E98"/>
    <w:rsid w:val="0016138A"/>
    <w:rsid w:val="00172171"/>
    <w:rsid w:val="001E63DC"/>
    <w:rsid w:val="00270A27"/>
    <w:rsid w:val="00417D42"/>
    <w:rsid w:val="00534C9A"/>
    <w:rsid w:val="00537B3F"/>
    <w:rsid w:val="005A4F15"/>
    <w:rsid w:val="00685EA7"/>
    <w:rsid w:val="007C105A"/>
    <w:rsid w:val="007F5676"/>
    <w:rsid w:val="00925359"/>
    <w:rsid w:val="009E5635"/>
    <w:rsid w:val="00A156BC"/>
    <w:rsid w:val="00A72F08"/>
    <w:rsid w:val="00B315EB"/>
    <w:rsid w:val="00BB4635"/>
    <w:rsid w:val="00C56A3F"/>
    <w:rsid w:val="00C85368"/>
    <w:rsid w:val="00C95853"/>
    <w:rsid w:val="00E346B5"/>
    <w:rsid w:val="00EE0B53"/>
    <w:rsid w:val="00FD45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1807</Words>
  <Characters>10302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4</cp:revision>
  <dcterms:created xsi:type="dcterms:W3CDTF">2014-10-23T17:02:00Z</dcterms:created>
  <dcterms:modified xsi:type="dcterms:W3CDTF">2014-10-28T05:39:00Z</dcterms:modified>
</cp:coreProperties>
</file>