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D5" w:rsidRPr="002B4545" w:rsidRDefault="007232D5" w:rsidP="00B26D8B">
      <w:pPr>
        <w:spacing w:after="160" w:line="240" w:lineRule="auto"/>
        <w:jc w:val="center"/>
        <w:rPr>
          <w:rFonts w:ascii="GHEA Grapalat" w:hAnsi="GHEA Grapalat" w:cs="GHEA Grapalat"/>
          <w:b/>
          <w:bCs/>
          <w:sz w:val="24"/>
          <w:szCs w:val="24"/>
          <w:lang w:val="en-US"/>
        </w:rPr>
      </w:pPr>
      <w:r w:rsidRPr="002B4545">
        <w:rPr>
          <w:rFonts w:ascii="GHEA Grapalat" w:hAnsi="GHEA Grapalat" w:cs="GHEA Grapalat"/>
          <w:b/>
          <w:bCs/>
          <w:sz w:val="24"/>
          <w:szCs w:val="24"/>
        </w:rPr>
        <w:t>ՀԱՄԱՁԱՅՆԱԳԻՐ</w:t>
      </w: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ՄԱՔՍԱՅԻՆ ՄԻՈՒԹՅԱՆ ԱՆԴԱՄ ՊԵՏՈՒԹՅՈՒՆՆԵՐԻ ՄԱՔՍԱՅԻՆ ՄԱՐՄԻՆՆԵՐԻ ՄԻՋԵՎ ՓՈԽԱԴԱՐՁ ՎԱՐՉԱԿԱՆ ՕԳՆՈՒԹՅԱՆ ՄԱՍԻՆ</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Եվրասիական տնտեսական համայնքի շրջանակներում՝ Մաքսային միության անդամ պետությունների Կառավարությունները (այսուհետ՝ Կողմեր),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հիմնվելով «Մաքսային միության մաքսային օրենսգրքի մասին» 2009 թվականի նոյեմբերի 27-ի պայմանագրի վրա,</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համաձայնեցին հետեւյալի մասին.</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0" w:name="Par11"/>
      <w:bookmarkEnd w:id="0"/>
      <w:r w:rsidRPr="002B4545">
        <w:rPr>
          <w:rFonts w:ascii="GHEA Grapalat" w:hAnsi="GHEA Grapalat" w:cs="GHEA Grapalat"/>
          <w:b/>
          <w:bCs/>
          <w:sz w:val="24"/>
          <w:szCs w:val="24"/>
        </w:rPr>
        <w:t>Մաս I. Ընդհանուր դրույթներ</w:t>
      </w:r>
    </w:p>
    <w:p w:rsidR="007232D5" w:rsidRPr="002B4545" w:rsidRDefault="007232D5" w:rsidP="00B26D8B">
      <w:pPr>
        <w:spacing w:after="160" w:line="240" w:lineRule="auto"/>
        <w:jc w:val="center"/>
        <w:rPr>
          <w:rFonts w:ascii="GHEA Grapalat" w:hAnsi="GHEA Grapalat" w:cs="GHEA Grapalat"/>
          <w:b/>
          <w:bCs/>
          <w:sz w:val="24"/>
          <w:szCs w:val="24"/>
        </w:rPr>
      </w:pPr>
      <w:bookmarkStart w:id="1" w:name="Par13"/>
      <w:bookmarkEnd w:id="1"/>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Հոդված 1</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Համաձայնագրի գործողության ոլորտը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միության անդամ պետությունների մաքսային մարմինները (այսուհետ՝ մաքսային մարմիններ) սույն Համաձայնագրի դրույթներին համապատասխան՝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փոխանակում են տեղեկատվություն, որը նպաստում է Մաքսային միության մաքսային օրենսդրության եւ Մաքսային միության անդամ պետությունների օրենսդրության պահանջների պահպանմանը,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միության այլ անդամ պետությունների մաքսային մարմինների հանձնարարականով իրականացնում են մաքսային հսկողության առանձին ձեւեր,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փոխադարձաբար ճանաչում են մաքսային մարմինների կողմից ընդունված որոշումները։</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2" w:name="Par22"/>
      <w:bookmarkEnd w:id="2"/>
      <w:r w:rsidRPr="002B4545">
        <w:rPr>
          <w:rFonts w:ascii="GHEA Grapalat" w:hAnsi="GHEA Grapalat" w:cs="GHEA Grapalat"/>
          <w:b/>
          <w:bCs/>
          <w:sz w:val="24"/>
          <w:szCs w:val="24"/>
        </w:rPr>
        <w:t>Հոդված 2</w:t>
      </w: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Սույն գլխում գործածված տերմինները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Սույն Համաձայնագրում գործածվում են հետեւյալ հիմնական տերմինները եւ դրանց սահմանումները՝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կենտրոնական մաքսային մարմիններ՝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Բելառուսի Հանրապետության համար՝ Բելառուսի Հանրապետության պետական մաքսային կոմիտեն,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Ղազախստանի Հանրապետության համար՝ Ղազախստանի Հանրապետության ֆինանսների նախարարության մաքսային հսկողության կոմիտեն,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Ռուսաստանի Դաշնության համար՝ Ռուսաստանի Դաշնության Դաշնային մաքսային ծառայությունը.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տարածքային մաքսային մարմիններ՝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Բելառուսի Հանրապետության համար՝ մաքսատներ,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Ղազախստանի Հանրապետության համար՝ Ղազախստանի Հանրապետության ֆինանսների նախարարության մաքսային հսկողության կոմիտեի տարածքային ստորաբաժանումները՝ ըստ շրջանների (ըստ հանրապետական նշանակության քաղաքների, մայրաքաղաքի), մաքսատներ,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Ռուսաստանի Դաշնության համար՝ շրջանային մաքսային վարչություններ եւ մաքսատներ,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հարցում ներկայացնող մաքսային մարմին՝ մաքսային մարմին, որը սույն Համաձայնագրին համապատասխան հարցում է ներկայացնում,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հարցում ստացած մաքսային մարմին՝ մաքսային մարմին, որը սույն Համաձայնագրին համապատասխան հարցում է ստանում,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5) հանձնարարական ներկայացնող մաքսային մարմին՝ մաքսային մարմին, որը սույն Համաձայնագրին համապատասխան հանձնարարական է ներկայացնում,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6) իրականացնող մաքսային մարմին՝ մաքսային մարմին, որը սույն Համաձայնագրին համապատասխան հանձնարարական է ստանում։</w:t>
      </w:r>
    </w:p>
    <w:p w:rsidR="007232D5" w:rsidRPr="002B4545" w:rsidRDefault="007232D5" w:rsidP="00B26D8B">
      <w:pPr>
        <w:spacing w:after="160" w:line="240" w:lineRule="auto"/>
        <w:ind w:firstLine="540"/>
        <w:jc w:val="both"/>
        <w:rPr>
          <w:rFonts w:ascii="GHEA Grapalat" w:hAnsi="GHEA Grapalat" w:cs="GHEA Grapalat"/>
          <w:sz w:val="24"/>
          <w:szCs w:val="24"/>
        </w:rPr>
      </w:pPr>
    </w:p>
    <w:p w:rsidR="007232D5" w:rsidRDefault="007232D5" w:rsidP="00B26D8B">
      <w:pPr>
        <w:spacing w:after="0" w:line="240" w:lineRule="auto"/>
        <w:rPr>
          <w:rFonts w:ascii="GHEA Grapalat" w:hAnsi="GHEA Grapalat" w:cs="GHEA Grapalat"/>
          <w:b/>
          <w:bCs/>
          <w:sz w:val="24"/>
          <w:szCs w:val="24"/>
        </w:rPr>
      </w:pPr>
      <w:bookmarkStart w:id="3" w:name="Par40"/>
      <w:bookmarkEnd w:id="3"/>
      <w:r>
        <w:rPr>
          <w:rFonts w:ascii="GHEA Grapalat" w:hAnsi="GHEA Grapalat" w:cs="GHEA Grapalat"/>
          <w:b/>
          <w:bCs/>
          <w:sz w:val="24"/>
          <w:szCs w:val="24"/>
        </w:rPr>
        <w:br w:type="page"/>
      </w:r>
    </w:p>
    <w:p w:rsidR="007232D5" w:rsidRPr="002B4545" w:rsidRDefault="007232D5" w:rsidP="00B26D8B">
      <w:pPr>
        <w:spacing w:after="160" w:line="240" w:lineRule="auto"/>
        <w:ind w:firstLine="540"/>
        <w:jc w:val="center"/>
        <w:rPr>
          <w:rFonts w:ascii="GHEA Grapalat" w:hAnsi="GHEA Grapalat" w:cs="GHEA Grapalat"/>
          <w:b/>
          <w:bCs/>
          <w:sz w:val="24"/>
          <w:szCs w:val="24"/>
        </w:rPr>
      </w:pPr>
      <w:r w:rsidRPr="002B4545">
        <w:rPr>
          <w:rFonts w:ascii="GHEA Grapalat" w:hAnsi="GHEA Grapalat" w:cs="GHEA Grapalat"/>
          <w:b/>
          <w:bCs/>
          <w:sz w:val="24"/>
          <w:szCs w:val="24"/>
        </w:rPr>
        <w:t>Մաս II. Մաքսային մարմինների միջեւ տեղեկատվության փոխանակումը</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4" w:name="Par42"/>
      <w:bookmarkEnd w:id="4"/>
      <w:r w:rsidRPr="002B4545">
        <w:rPr>
          <w:rFonts w:ascii="GHEA Grapalat" w:hAnsi="GHEA Grapalat" w:cs="GHEA Grapalat"/>
          <w:b/>
          <w:bCs/>
          <w:sz w:val="24"/>
          <w:szCs w:val="24"/>
        </w:rPr>
        <w:t>Հոդված 3</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Տեղեկատվության փոխանակման կազմակերպումը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Մաքսային մարմինները սեփական նախաձեռնությամբ կամ հարցման հիման վրա ներկայացնում են տեղեկատվություն՝ նպատակ հետապնդելով պահպանել Մաքսային միության մաքսային օրենսդրության եւ (կամ) Մաքսային միության անդամ պետությունների օրենսդրության պահանջները, ինչպես նաեւ նախազգուշացնել Մաքսային միության մաքսային օրենսդրության եւ (կամ) Մաքսային միության անդամ պետությունների օրենսդրության խախտումների մասին, այդ թվում՝ ներկայացնում են փաստաթղթեր կամ դրանց հաստատված պատճենները։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Մաքսային մարմինների միջեւ տեղեկատվության փոխանակումն իրականացվում է գրավոր եւ (կամ) էլեկտրոնային եղանակով՝ հետեւյալի միջոցով՝</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հարցումների եւ տեղեկատվության ներկայացում,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սեփական նախաձեռնությամբ տեղեկատվության ուղարկում,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նորմատիվ եւ այլ իրավական ակտերի փոխանակում։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Կենտրոնական մաքսային մարմինները համատեղ որոշում են տեղեկատվական փոխանակման համար անհրաժեշտ տեղեկությունները, մշակում եւ համաձայնեցնում են տեղեկատվական համագործակցության եւ տեխնիկական ընթացակարգի, ինչպես նաեւ տվյալների փոխանցման տեխնիկական պայմանները, որոնք պահանջվում են տեղեկությունների պաշտպանության համար։</w:t>
      </w:r>
    </w:p>
    <w:p w:rsidR="007232D5" w:rsidRPr="002B4545" w:rsidRDefault="007232D5" w:rsidP="00B26D8B">
      <w:pPr>
        <w:spacing w:after="160" w:line="240" w:lineRule="auto"/>
        <w:ind w:firstLine="540"/>
        <w:jc w:val="both"/>
        <w:rPr>
          <w:rFonts w:ascii="GHEA Grapalat" w:hAnsi="GHEA Grapalat" w:cs="GHEA Grapalat"/>
          <w:sz w:val="24"/>
          <w:szCs w:val="24"/>
        </w:rPr>
      </w:pPr>
      <w:bookmarkStart w:id="5" w:name="Par52"/>
      <w:bookmarkEnd w:id="5"/>
      <w:r w:rsidRPr="002B4545">
        <w:rPr>
          <w:rFonts w:ascii="GHEA Grapalat" w:hAnsi="GHEA Grapalat" w:cs="GHEA Grapalat"/>
          <w:sz w:val="24"/>
          <w:szCs w:val="24"/>
        </w:rPr>
        <w:t>4. Կենտրոնական մաքսային մարմինները սույն Համաձայնագիրը ստորագրելուց հետո վեց ամսվա ընթացքում համաձայնեցնում են էլեկտրոնային եղանակով տեղեկատվության փոխանակումը կազմակերպելու տեխնիկական պայմանները, որոնք նախատեսված են սույն Համաձայնագրի 4-րդ հոդվածով, այդ թվում՝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տեղեկատվության փոխանակման կազմակերպման կարգը,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տեղեկատվությունը ներկայացնելու եղանակները,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տեղեկատվության պաշտպանության մասով պահանջները,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տեղեկատվության կառուցվածքը, կազմը եւ ձեւաչափը։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Էլեկտրոնային եղանակով տեղեկատվության փոխանակումն իրականացվում է մաքսային մարմինների միջեւ նրանց տեխնիկական պատրաստվածությունը ապահովելուց հետո, որի մասին կենտրոնական մաքսային մարմինները գրավոր տեղեկացնում են միմյանց։</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5. Կենտրոնական մաքսային մարմինները իրավունք ունեն իրականացնելու տեղեկատվության փոխադարձ փոխանակում՝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ռիսկերի նվազեցմանն ուղղված՝ կիրառվող միջոցների, ինչպես նաեւ այլ տեղեկատվության վերաբերյալ, որը նպաստում է մաքսային հսկողության արդյունավետության բարձրացմանը,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միության Արտաքին առեւտրային գործունեության միասնական ապրանքային անվանացանկի (այսուհետ՝ ԱԱԳ ՄԱԱ) ապրանքների դասակարգման վերաբերյալ նախնական որոշումների համաձայն,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հարցերով փորձագետների եզրակացությունների հիման վրա,</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միության մաքսային տարածքից ապրանքների արտահանման փաստացի վերահսկողություն իրականացնելիս,</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միության մաքսային տարածքից ապրանքների փոխադրումների վերահսկողության ժամանակ՝ տարանցիկ փոխադրման մաքսային ընթացակարգերին համապատասխան՝ կենտրոնական մաքսային մարմինների կողմից սահմանված կարգով,</w:t>
      </w:r>
    </w:p>
    <w:p w:rsidR="007232D5" w:rsidRPr="002B4545" w:rsidRDefault="007232D5" w:rsidP="00B26D8B">
      <w:pPr>
        <w:spacing w:after="160" w:line="240" w:lineRule="auto"/>
        <w:jc w:val="both"/>
        <w:rPr>
          <w:rFonts w:ascii="GHEA Grapalat" w:hAnsi="GHEA Grapalat" w:cs="GHEA Grapalat"/>
          <w:sz w:val="24"/>
          <w:szCs w:val="24"/>
        </w:rPr>
      </w:pPr>
      <w:r w:rsidRPr="002B4545">
        <w:rPr>
          <w:rFonts w:ascii="GHEA Grapalat" w:hAnsi="GHEA Grapalat" w:cs="GHEA Grapalat"/>
          <w:sz w:val="24"/>
          <w:szCs w:val="24"/>
        </w:rPr>
        <w:t>կենտրոնական մաքսային մարմինների կողմից սահմանվող այլ տեղեկատվություն։</w:t>
      </w:r>
    </w:p>
    <w:p w:rsidR="007232D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6" w:name="Par66"/>
      <w:bookmarkEnd w:id="6"/>
      <w:r w:rsidRPr="002B4545">
        <w:rPr>
          <w:rFonts w:ascii="GHEA Grapalat" w:hAnsi="GHEA Grapalat" w:cs="GHEA Grapalat"/>
          <w:b/>
          <w:bCs/>
          <w:sz w:val="24"/>
          <w:szCs w:val="24"/>
        </w:rPr>
        <w:t>Հոդված 4</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Էլեկտրոնային եղանակով տեղեկատվության փոխանակումը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Կենտրոնական մաքսային մարմինները կանոնավոր կերպով իրականացնում են հետեւյալ տեղեկատվության փոխանակումը՝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սույն Համաձայնագրի 3–րդ հոդվածի 4–րդ կետի համաձայն Տեղեկատվության էլեկտրոնային փոխանակումը կազմակերպելու հետ կապված տեխնիկական պայմաններով սահմանված տեղեկություններ՝ համաձայնեցված ապրանքային դիրքերի վերաբերյալ մաքսային ձեւակերպումների տվյալների բազայից՝ բացառությամբ այն տեղեկությունների, որոնք վերաբերում են պետական գաղտնիքին,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սույն Համաձայնագրի 3–րդ հոդվածի 4–րդ կետի համաձայն Տեղեկատվության էլեկտրոնային փոխանակման կազմակերպման հետ կապված տեխնիկական պայմաններով սահմանված տեղեկություններ՝ ԱԱԳ ՄԱԱ–ի համաձայնեցված ապրանքների դիրքերով դասակարգված ապրանքների վերաբերյալ նախնական որոշումների տվյալների բազայից՝ բացառությամբ այն տեղեկությունների, որոնք վերաբերում են պետական գաղտնիքին։</w:t>
      </w:r>
    </w:p>
    <w:p w:rsidR="007232D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7" w:name="Par74"/>
      <w:bookmarkEnd w:id="7"/>
      <w:r w:rsidRPr="002B4545">
        <w:rPr>
          <w:rFonts w:ascii="GHEA Grapalat" w:hAnsi="GHEA Grapalat" w:cs="GHEA Grapalat"/>
          <w:b/>
          <w:bCs/>
          <w:sz w:val="24"/>
          <w:szCs w:val="24"/>
        </w:rPr>
        <w:t>Հոդված 5</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Հարցումներ կատարելու հիմքերը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bookmarkStart w:id="8" w:name="Par78"/>
      <w:bookmarkEnd w:id="8"/>
      <w:r w:rsidRPr="002B4545">
        <w:rPr>
          <w:rFonts w:ascii="GHEA Grapalat" w:hAnsi="GHEA Grapalat" w:cs="GHEA Grapalat"/>
          <w:sz w:val="24"/>
          <w:szCs w:val="24"/>
        </w:rPr>
        <w:t>1. Տեղեկատվություն եւ փաստաթղթեր ներկայացնելու հարցում (այսուհետ՝ հարցում) ներկայացնելու հիմքերն են՝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տեղեկատվության փոխանակման արդյունքում պարզվել է, որ ապրանքների, միջազգային փոխադրման տրանսպորտի միջոցների եւ (կամ) ապրանքների նկատմամբ իրավասու անձանց մասին տվյալներում առկա են անհամապատասխանություններ,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առկա են տվյալներ, որոնք վկայում են Մաքսային միության մաքսային օրենսդրության եւ Մաքսային միության այն անդամ պետությունների օրենսդրության պահանջների հնարավոր խախտման մասին, որի մաքսային մարմինը կատարել է հարցումը,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մաքսային մարմինների կողմից մաքսային հսկողության անցկացումը։</w:t>
      </w:r>
    </w:p>
    <w:p w:rsidR="007232D5" w:rsidRPr="002B4545" w:rsidRDefault="007232D5" w:rsidP="00B26D8B">
      <w:pPr>
        <w:spacing w:after="160" w:line="240" w:lineRule="auto"/>
        <w:ind w:firstLine="540"/>
        <w:jc w:val="both"/>
        <w:rPr>
          <w:rFonts w:ascii="GHEA Grapalat" w:hAnsi="GHEA Grapalat" w:cs="GHEA Grapalat"/>
          <w:sz w:val="24"/>
          <w:szCs w:val="24"/>
        </w:rPr>
      </w:pPr>
      <w:bookmarkStart w:id="9" w:name="Par82"/>
      <w:bookmarkEnd w:id="9"/>
      <w:r w:rsidRPr="002B4545">
        <w:rPr>
          <w:rFonts w:ascii="GHEA Grapalat" w:hAnsi="GHEA Grapalat" w:cs="GHEA Grapalat"/>
          <w:sz w:val="24"/>
          <w:szCs w:val="24"/>
        </w:rPr>
        <w:t>2. Հարցումը կարող է ներկայացվել այլ հիմքերով, որոնք նախատեսված չեն սույն հոդվածի 1-ին կետով։</w:t>
      </w:r>
    </w:p>
    <w:p w:rsidR="007232D5" w:rsidRPr="002B4545" w:rsidRDefault="007232D5" w:rsidP="00B26D8B">
      <w:pPr>
        <w:spacing w:after="0" w:line="240" w:lineRule="auto"/>
        <w:rPr>
          <w:rFonts w:ascii="GHEA Grapalat" w:hAnsi="GHEA Grapalat" w:cs="GHEA Grapalat"/>
          <w:b/>
          <w:bCs/>
          <w:sz w:val="24"/>
          <w:szCs w:val="24"/>
        </w:rPr>
      </w:pPr>
      <w:bookmarkStart w:id="10" w:name="Par84"/>
      <w:bookmarkEnd w:id="10"/>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Հոդված 6</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Հարցումներ ներկայացնելու կարգը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Հարցումների փոխանակումը եւ դրանց պատասխանները կատարվում են ինչպես կենտրոնական մաքսային մարմինների, այնպես էլ անմիջականորեն տարածքային մաքսային մարմինների միջեւ։</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Այն դեպքերում, երբ հնարավոր չէ որոշել, թե որ մաքսային մարմին պետք է ուղարկել հարցումը, ապա հարցումները ներկայացվում են կենտրոնական մաքսային մարմիններ։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Հարցումը ներկայացվում է գրավոր՝ հարցում ներկայացնող մաքսային մարմնի պետի (ղեկավարի) կամ նրա տեղակալի ստորագրությամբ։</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Հարցումները եւ դրանց պատասխանները կարող են ներկայացվել էլեկտրոնային փոստով կամ ֆաքսով, որից հետո այն պետք է ուղարկվի նաեւ փոստով։</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Հարցումը պետք է ներառի՝</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հարցում ներկայացնող մաքսային մարմնի եւ հարցման հասցեատեր մաքսային մարմնի անվանումը,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 xml:space="preserve">2) հղում սույն Համաձայնագրին, </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 xml:space="preserve">3) գործի էության համառոտ նկարագիրը, </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 xml:space="preserve">4) սույն Համաձայնագրի 5-րդ հոդվածի համաձայն հարցում ներկայացնելու հիմքերը, </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5) Մաքսային միության մաքսային օրենսդրության եւ Մաքսային միության անդամ պետության օրենսդրության դրույթների մատնանշում, որոնց կատարումը պետք է ստուգվի հարցում ներկայացնելու արդյունքում,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6) հարցվող փաստաթղթերի եւ տեղեկատվության ցանկը,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7) այլ տեղեկատվություն, որը, հարցում ներկայացնող մաքսային մարմնի կարծիքով, անհրաժեշտ է հարցումը կատարելու համար։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Հարցմանը կից կարող են ներկայացվել այն փաստաթղթերի պատճենները, որոնց հարցման տեքստի մեջ հղում է արվում (բացառությամբ նորմատիվ իրավական ակտերի պատճենների), ինչպես նաեւ կարող են ներկայացվել մաքսային, առեւտրային, տրանսպորտային (փոխադրման) եւ այլ փաստաթղթերի հաստատված պատճենները, որոնք առնչություն ունեն հարցման էության հետ։</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5. Փաստաթղթերի բնօրինակները կարող են պահանջվել այն դեպքերում, երբ հաստատված պատճենը ներկայացնելը համարվում է ոչ բավարար։ Այդ փաստաթղթերը պետք է վերադարձվեն կարճ ժամկետներում։</w:t>
      </w:r>
    </w:p>
    <w:p w:rsidR="007232D5" w:rsidRPr="002B4545" w:rsidRDefault="007232D5" w:rsidP="00B26D8B">
      <w:pPr>
        <w:spacing w:after="160" w:line="240" w:lineRule="auto"/>
        <w:jc w:val="center"/>
        <w:rPr>
          <w:rFonts w:ascii="GHEA Grapalat" w:hAnsi="GHEA Grapalat" w:cs="GHEA Grapalat"/>
          <w:b/>
          <w:bCs/>
          <w:sz w:val="24"/>
          <w:szCs w:val="24"/>
        </w:rPr>
      </w:pPr>
      <w:bookmarkStart w:id="11" w:name="Par103"/>
      <w:bookmarkEnd w:id="11"/>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Հոդված 7</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Հարցումներ կատարելու կարգը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Հարցումը կատարվում է այն ստանալուց հետո մեկ ամիսը չգերազանցող ժամկետում Եթե անհրաժեշտ է այդ ժամկետը կրճատել, ապա հարցման տեքստում կատարվում է համապատասխան նշում դրա պատճառի եւ հարցումը կատարելու ցանկալի ժամկետի մասին։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Սույն հոդվածի 3–րդ հոդվածի 1–ին կետում նախատեսված դեպքերում հարցումը կատարելու ժամկետը երկարաձգվում է այնքան ժամանակով, որն անհրաժեշտ է լրացուցիչ տեղեկատվություն ստանալու համար։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Եթե անհնար է կատարել հարցումը մասամբ կամ ամբողջությամբ նշված ժամկետում, ապա հարցում ստացած մաքսային մարմինը հարցում ներկայացնող մաքսային մարմնին տեղեկացնում է կատարման առաջարկվող ժամկետների մասին։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Եթե մաքսային մարմինը չի տիրապետում այն տեղեկատվությանը, որը պահանջվում է, ապա այն միջոցներ է ձեռնարկում ստանալու դա՝ գործելով սեփական անունից իր պետության օրենսդրության համաձայն։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Հարցում ստացած մաքսային մարմինը իրավունք ունի՝</w:t>
      </w:r>
    </w:p>
    <w:p w:rsidR="007232D5" w:rsidRPr="002B4545" w:rsidRDefault="007232D5" w:rsidP="00B26D8B">
      <w:pPr>
        <w:spacing w:after="160" w:line="240" w:lineRule="auto"/>
        <w:ind w:firstLine="540"/>
        <w:jc w:val="both"/>
        <w:rPr>
          <w:rFonts w:ascii="GHEA Grapalat" w:hAnsi="GHEA Grapalat" w:cs="GHEA Grapalat"/>
          <w:sz w:val="24"/>
          <w:szCs w:val="24"/>
        </w:rPr>
      </w:pPr>
      <w:bookmarkStart w:id="12" w:name="Par112"/>
      <w:bookmarkEnd w:id="12"/>
      <w:r w:rsidRPr="002B4545">
        <w:rPr>
          <w:rFonts w:ascii="GHEA Grapalat" w:hAnsi="GHEA Grapalat" w:cs="GHEA Grapalat"/>
          <w:sz w:val="24"/>
          <w:szCs w:val="24"/>
        </w:rPr>
        <w:t>1) դիմելու հարցում ներկայացնող մաքսային մարմնին լրացուցիչ տեղեկատվություն տրամադրելու խնդրանքով, եթե դա անհրաժեշտ է հարցումը կատարելու համար,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մերժելու հարցում ներկայացող մաքսային մարմնին հարցումը կատարելու խնդրանքը՝ գրավոր ծանուցելով մերժման եւ դրա պատճառների մասին՝ սույն Համաձայնագրի 8-րդ հոդվածում նշված դեպքերում։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Հարցում ստացած մաքսային մարմինը հարցում ներկայացնող մաքսային մարմին է ուղարկում հարցման պատասխանը, ինչպես նաեւ հարցման նամակը ստորագրած պաշտոնյայի անունով համապատասխան նյութերը։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5. Հարցում ստացած մաքսային մարմինը հարցմանն ի պատասխան ներկայացնում է՝</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փաստաթղթեր (կամ դրանց հաստատված պատճենները) եւ տեղեկություններ, որոնց համար դիմել է հարցում ներկայացնող մաքսային մարմինը,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հսկողության իրականացված ձեւերի եւ դրա արդյունքների մասին տեղեկատվություն, եթե հարցում ստացած մաքսային մարմինը իրականացրել է մաքսային հսկողությունը սեփական նախաձեռնությամբ,</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այլ փաստաթղթեր (կամ դրանց հաստատված պատճենները) եւ տեղեկություններ, որոնք կարող են նպաստել հարցում ներկայացնող մաքսային մարմնի կողմից որոշումների եւ միջոցների ընդունմանը, որոնք նախատեսված են Մաքսային միության մաքսային օրենսդրությամբ եւ (կամ) Մաքսային միության այն անդամ պետության օրենսդրությամբ, որի մաքսային մարմինը ուղարկել է հարցումը։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6. Մաքսային մարմինները փոխանակում են մաքսային այն վերահսկողության արդյունքների վերաբերյալ տեղեկություններ, որն իրականացվում է սույն հոդվածի հիմքով ստացված տեղեկատվությունն օգտագործելով։</w:t>
      </w:r>
    </w:p>
    <w:p w:rsidR="007232D5" w:rsidRPr="002B4545"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13" w:name="Par121"/>
      <w:bookmarkEnd w:id="13"/>
      <w:r w:rsidRPr="002B4545">
        <w:rPr>
          <w:rFonts w:ascii="GHEA Grapalat" w:hAnsi="GHEA Grapalat" w:cs="GHEA Grapalat"/>
          <w:b/>
          <w:bCs/>
          <w:sz w:val="24"/>
          <w:szCs w:val="24"/>
        </w:rPr>
        <w:t>Հոդված 8</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Հարցման հիման վրա տեղեկատվության տրամադրումը մերժելը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Հարցման հիման վրա տեղեկատվության տրամադրումը մերժվում է, եթե՝</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 xml:space="preserve">1) հարցումը չի համապատասխանում է սույն Համաձայնագրի 6-րդ հոդվածում նշված պահանջներին, </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 xml:space="preserve">2) հարցում ներկայացնող մաքսային մարմինը չի տրամադրել անհրաժեշտ տեղեկատվություն իր անունով լրացուցիչ տեղեկատվություն տրամադրելու մասին հարցումը փոխանցելուց հետո երկու ամսվա ընթացքում, ինչը անհրաժեշտ է հարցումը կատարելու համար, </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հարցման կատարումը կարող է վնասել Մաքսային միության անդամ պետության ինքնիշխանությանը, ազգային անվտանգությանը, հակասում է նրա օրենսդրությանը կամ Մաքսային միության այն անդամ պետության միջազգային պայմանագրերին, որի մաքսային մարմին ուղարկվել է հարցումը,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հարցումն օբյեկտիվորեն չի կարող կատարվել հարցում ստացած մաքսային մարմնից անկախ պատճառներով,</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5) հարցում ստացած մաքսային մարմինը հարցումը կատարելու համար բավարար չի համարում այն հիմքերը, որոնք նշված են հարցման մեջ՝ սույն Համաձայնագրի 5–րդ հոդվածի 2–րդ կետի համաձայն։</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14" w:name="Par132"/>
      <w:bookmarkEnd w:id="14"/>
      <w:r w:rsidRPr="002B4545">
        <w:rPr>
          <w:rFonts w:ascii="GHEA Grapalat" w:hAnsi="GHEA Grapalat" w:cs="GHEA Grapalat"/>
          <w:b/>
          <w:bCs/>
          <w:sz w:val="24"/>
          <w:szCs w:val="24"/>
        </w:rPr>
        <w:t>Հոդված 9</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Սեփական նախաձեռնությամբ տեղեկատվություն փոխանցելը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միության անդամ պետություններից մեկի մաքսային մարմինը սեփական նախաձեռնությամբ տեղեկատվություն է փոխանցում Մաքսային միության մյուս անդամ պետության մաքսային մարմնին, եթե՝</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տվյալ տեղեկատվությունը կարող է վկայել Մաքսային միության մաքսային օրենսդրության եւ (կամ) Մաքսային միության այն անդամ պետությունների օրենսդրության պահանջների հնարավոր խախտման մասին, որի մաքսային մարմնին փոխանցվում է հարցումը,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այլ հիմքեր կան ենթադրելու, որ տվյալ տեղեկատվությունը հետաքրքրություն է ներկայացնում տվյալ մաքսային մարմնի համար։</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15" w:name="Par140"/>
      <w:bookmarkEnd w:id="15"/>
      <w:r w:rsidRPr="002B4545">
        <w:rPr>
          <w:rFonts w:ascii="GHEA Grapalat" w:hAnsi="GHEA Grapalat" w:cs="GHEA Grapalat"/>
          <w:b/>
          <w:bCs/>
          <w:sz w:val="24"/>
          <w:szCs w:val="24"/>
        </w:rPr>
        <w:t>Հոդված 10</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Նորմատիվ եւ այլ իրավական ակտեր փոխանակելը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Կենտրոնական մաքսային մարմինները փոխանակում են Մաքսային միության անդամ պետությունների նորմատիվ եւ այլ իրավական ակտեր, որոնք վերաբերում են մաքսային հսկողությանը։</w:t>
      </w:r>
    </w:p>
    <w:p w:rsidR="007232D5" w:rsidRDefault="007232D5" w:rsidP="00B26D8B">
      <w:pPr>
        <w:spacing w:after="0" w:line="240" w:lineRule="auto"/>
        <w:rPr>
          <w:rFonts w:ascii="GHEA Grapalat" w:hAnsi="GHEA Grapalat" w:cs="GHEA Grapalat"/>
          <w:b/>
          <w:bCs/>
          <w:sz w:val="24"/>
          <w:szCs w:val="24"/>
        </w:rPr>
      </w:pPr>
      <w:bookmarkStart w:id="16" w:name="Par146"/>
      <w:bookmarkEnd w:id="16"/>
      <w:r>
        <w:rPr>
          <w:rFonts w:ascii="GHEA Grapalat" w:hAnsi="GHEA Grapalat" w:cs="GHEA Grapalat"/>
          <w:b/>
          <w:bCs/>
          <w:sz w:val="24"/>
          <w:szCs w:val="24"/>
        </w:rPr>
        <w:br w:type="page"/>
      </w: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Մաս III.  Մաքսային հսկողության առանձին ձեւերի իրականացումը Մաքսային միության անդամներից մեկի պետության մաքսային մարմնի կողմից՝ Մաքսային միության մեկ այլ անդամ պետության մաքսային մարմնին ուղղված հանձնարարականով</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17" w:name="Par151"/>
      <w:bookmarkEnd w:id="17"/>
      <w:r w:rsidRPr="002B4545">
        <w:rPr>
          <w:rFonts w:ascii="GHEA Grapalat" w:hAnsi="GHEA Grapalat" w:cs="GHEA Grapalat"/>
          <w:b/>
          <w:bCs/>
          <w:sz w:val="24"/>
          <w:szCs w:val="24"/>
        </w:rPr>
        <w:t>Հոդված 11</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Մաքսային հսկողության առանձին ձեւերի վերաբերյալ հանձնարարական ուղարկելու հիմքերը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bookmarkStart w:id="18" w:name="Par156"/>
      <w:bookmarkEnd w:id="18"/>
      <w:r w:rsidRPr="002B4545">
        <w:rPr>
          <w:rFonts w:ascii="GHEA Grapalat" w:hAnsi="GHEA Grapalat" w:cs="GHEA Grapalat"/>
          <w:sz w:val="24"/>
          <w:szCs w:val="24"/>
        </w:rPr>
        <w:t>1. Մաքսային հսկողության առանձին ձեւերի վերաբերյալ հանձնարարական (այսուհետ՝ հանձնարարական) ուղարկելու հիմքերն են՝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այն ապրանքների առկայությունը հաստատելու անհրաժեշտությունը, որոնք գտնվում են մաքսային հսկողության տակ,</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Մաքսային միության Մաքսային օրենսգրքի 132-րդ հոդվածով նախատեսված հիմքերով արտապլանային արտագնա մաքսային ստուգումներ անցկացնելու անհրաժեշտությունը, եթե ստուգման ենթակա անձը, որը պետք է անցնի արտագնա մաքսային ստուգում, ստեղծվել եւ (կամ) գրանցվել է Մաքսային միության մյուս անդամ պետության օրենսդրության համաձայն,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այն տվյալների առկայությունը, որոնք վկայում են Մաքսային միության մաքսային օրենսդրության եւ Մաքսային միության այն անդամ պետությունների օրենսդրության պահանջների հնարավոր խախտման մասին, որի մաքսային մարմինը ներկայացրել է հարցումը,</w:t>
      </w:r>
    </w:p>
    <w:p w:rsidR="007232D5" w:rsidRPr="002B4545" w:rsidRDefault="007232D5" w:rsidP="00B26D8B">
      <w:pPr>
        <w:spacing w:after="160" w:line="240" w:lineRule="auto"/>
        <w:ind w:firstLine="540"/>
        <w:jc w:val="both"/>
        <w:rPr>
          <w:rFonts w:ascii="GHEA Grapalat" w:hAnsi="GHEA Grapalat" w:cs="GHEA Grapalat"/>
          <w:sz w:val="24"/>
          <w:szCs w:val="24"/>
        </w:rPr>
      </w:pPr>
      <w:bookmarkStart w:id="19" w:name="Par160"/>
      <w:bookmarkEnd w:id="19"/>
      <w:r w:rsidRPr="002B4545">
        <w:rPr>
          <w:rFonts w:ascii="GHEA Grapalat" w:hAnsi="GHEA Grapalat" w:cs="GHEA Grapalat"/>
          <w:sz w:val="24"/>
          <w:szCs w:val="24"/>
        </w:rPr>
        <w:t>2. Հանձնարարական կարող է ներկայացվել այլ հիմքերով, որոնք նախատեսված չեն սույն հոդվածի 1-ին կետով։</w:t>
      </w:r>
    </w:p>
    <w:p w:rsidR="007232D5" w:rsidRDefault="007232D5" w:rsidP="00B26D8B">
      <w:pPr>
        <w:spacing w:after="0" w:line="240" w:lineRule="auto"/>
        <w:rPr>
          <w:rFonts w:ascii="GHEA Grapalat" w:hAnsi="GHEA Grapalat" w:cs="GHEA Grapalat"/>
          <w:b/>
          <w:bCs/>
          <w:sz w:val="24"/>
          <w:szCs w:val="24"/>
        </w:rPr>
      </w:pPr>
      <w:bookmarkStart w:id="20" w:name="Par162"/>
      <w:bookmarkEnd w:id="20"/>
    </w:p>
    <w:p w:rsidR="007232D5" w:rsidRDefault="007232D5" w:rsidP="00B26D8B">
      <w:pPr>
        <w:spacing w:after="0" w:line="240" w:lineRule="auto"/>
        <w:rPr>
          <w:rFonts w:ascii="GHEA Grapalat" w:hAnsi="GHEA Grapalat" w:cs="GHEA Grapalat"/>
          <w:b/>
          <w:bCs/>
          <w:sz w:val="24"/>
          <w:szCs w:val="24"/>
        </w:rPr>
      </w:pPr>
    </w:p>
    <w:p w:rsidR="007232D5" w:rsidRDefault="007232D5" w:rsidP="00B26D8B">
      <w:pPr>
        <w:spacing w:after="0" w:line="240" w:lineRule="auto"/>
        <w:rPr>
          <w:rFonts w:ascii="GHEA Grapalat" w:hAnsi="GHEA Grapalat" w:cs="GHEA Grapalat"/>
          <w:b/>
          <w:bCs/>
          <w:sz w:val="24"/>
          <w:szCs w:val="24"/>
        </w:rPr>
      </w:pPr>
    </w:p>
    <w:p w:rsidR="007232D5" w:rsidRPr="002B4545" w:rsidRDefault="007232D5" w:rsidP="00B26D8B">
      <w:pPr>
        <w:spacing w:after="0" w:line="240" w:lineRule="auto"/>
        <w:rPr>
          <w:rFonts w:ascii="GHEA Grapalat" w:hAnsi="GHEA Grapalat" w:cs="GHEA Grapalat"/>
          <w:b/>
          <w:bCs/>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Հոդված 12</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Մաքսային հսկողության առանձին ձեւերի վերաբերյալ հանձնարարական ներկայացնելու ձեւը եւ կարգը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Հանձնարարականների եւ դրանց պատասխանների փոխանակումն իրականացվում է կենտրոնական մաքսային մարմինների միջեւ։</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Կենտրոնական մաքսային մարմինների հետ համատեղ սահմանված դեպքերում, հանձնարարականների եւ դրանց պատասխանների փոխանակումը կարող է իրականացվել տարածքային մաքսային մարմինների միջեւ։</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Հանձնարարականը ձեւակերպվում է գրավոր՝ հանձնարարական ներկայացնող մաքսային մարմնի պետի (ղեկավարի) կամ նրա տեղակալի ստորագրությամբ։</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Հանձնարարականները եւ դրանց պատասխանները կարող են ներկայացվել էլեկտրոնային փոստով կամ ֆաքսով, որից հետո դրանք պետք է ուղարկվեն նաեւ փոստով։</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Հանձնարարականի մեջ պետք է նշել՝</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հանձնարարական ներկայացնող մաքսային մարմնի եւ հանձնարարականի հասցեատեր մաքսային մարմնի անվանումը,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սույն Համաձայնագրին հղումը,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գործի էության համառոտ նկարագիրը,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սույն Համաձայնագրի 11-րդ հոդվածին համապատասխան՝ հանձնարարական ներկայացնելու հիմքերը,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5) մաքսային հսկողության այն ձեւերը, որոնք պետք է իրականացնել,</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6) ապրանքի, փաստաթղթերի եւ տեղեկությունների, ինչպես նաեւ այն անձի մասին տեղեկատվությունը, որոնց մասով (որի մոտ) պետք է իրականացնել մաքսային հսկողություն,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7) հանձնարարականի էության հետ առնչվող նյութերը, այդ թվում՝ փաստաթղթերի պատճենները, որոնց հանձնարարականի տեքստի մեջ հղում է արվում (բացառությամբ նորմատիվ իրավական ակտերի պատճենների), ինչպես նաեւ կարող են ներկայացվել մաքսային, առեւտրային, տրանսպորտային (փոխադրման) եւ այլ փաստաթղթերի հաստատված պատճենները,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8) Մաքսային միության մաքսային օրենսդրության եւ Մաքսային միության այն անդամ պետության օրենսդրության դրույթների մատնանշումը, որի մաքսային մարմինը ներկայացնում է հանձնարարականը, որոնց իրականացումը պետք է ստուգել հանձնարարականը կատարելու արդյունքում,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9) պահանջվող փաստաթղթերի եւ տեղեկությունների ցանկը,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10) այլ տեղեկատվություն, որը հանձնարարական ներկայացնող մաքսային մարմնի կարծիքով, անհրաժեշտ է հանձնարարականը կատարելու համար։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Մաքսային հսկողության առանձին ձեւեր իրականացնելու անհրաժեշտության դեպքում, եթե մաքսային ձեւակերպումները պետք է իրականացվեն նախքան ապրանքի բացթողումը, ապա հանձնարարականը ձեւակերպվում է այնպիսի տվյալների փոխանցմամբ, որոնք բավարար են ռիսկի պրոֆիլ ձեւավորելու համար։ Նման հանձնարարականների ձեւակերպման, ներկայացման եւ կատարման կարգը սահմանվում է կենտրոնական մաքսային մարմինների կողմից։</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21" w:name="Par184"/>
      <w:bookmarkEnd w:id="21"/>
      <w:r w:rsidRPr="002B4545">
        <w:rPr>
          <w:rFonts w:ascii="GHEA Grapalat" w:hAnsi="GHEA Grapalat" w:cs="GHEA Grapalat"/>
          <w:b/>
          <w:bCs/>
          <w:sz w:val="24"/>
          <w:szCs w:val="24"/>
        </w:rPr>
        <w:t>Հոդված 13</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Մաքսային հսկողության առանձին ձեւերի վերաբերյալ հանձնարարականներ կատարելու կարգը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Հանձնարարականը կատարվում է այն ստանալուց հետո երկու ամիսը չգերազանցող ժամկետում։ Եթե անհրաժեշտ է այդ ժամկետը կրճատել, ապա հանձնարարականի տեքստում կատարվում է համապատասխան նշում դրա պատճառի եւ հանձնարարականը կատարելու ցանկալի ժամկետի մասին։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Սույն հոդվածի 2–րդ կետի 1–ին ենթակետում նախատեսված դեպքերում, հանձնարարականը կատարելու ժամկետը երկարաձգվում է այնքան ժամանակով, որն անհրաժեշտ է լրացուցիչ տեղեկատվություն ստանալու համար։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Եթե նշված ժամկետում անհնար է կատարել հանձնարարականը մասամբ կամ ամբողջությամբ, ապա հանձնարարականը կատարող մաքսային մարմինը հանձնարարական ներկայացնող մաքսային մարմնին տեղեկացնում է կատարման ենթադրյալ ժամկետների մասին։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Հանձնարարական իրականացնող մաքսային մարմինը իրավունք ունի՝</w:t>
      </w:r>
    </w:p>
    <w:p w:rsidR="007232D5" w:rsidRPr="002B4545" w:rsidRDefault="007232D5" w:rsidP="00B26D8B">
      <w:pPr>
        <w:spacing w:after="160" w:line="240" w:lineRule="auto"/>
        <w:ind w:firstLine="540"/>
        <w:jc w:val="both"/>
        <w:rPr>
          <w:rFonts w:ascii="GHEA Grapalat" w:hAnsi="GHEA Grapalat" w:cs="GHEA Grapalat"/>
          <w:sz w:val="24"/>
          <w:szCs w:val="24"/>
        </w:rPr>
      </w:pPr>
      <w:bookmarkStart w:id="22" w:name="Par193"/>
      <w:bookmarkEnd w:id="22"/>
      <w:r w:rsidRPr="002B4545">
        <w:rPr>
          <w:rFonts w:ascii="GHEA Grapalat" w:hAnsi="GHEA Grapalat" w:cs="GHEA Grapalat"/>
          <w:sz w:val="24"/>
          <w:szCs w:val="24"/>
        </w:rPr>
        <w:t>1) դիմելու հանձնարարական ներկայացնող մաքսային մարմնին լրացուցիչ տեղեկատվություն տրամադրելու խնդրանքով, եթե դա անհրաժեշտ է հանձնարարականը կատարելու համար,</w:t>
      </w:r>
    </w:p>
    <w:p w:rsidR="007232D5" w:rsidRPr="002B4545" w:rsidRDefault="007232D5" w:rsidP="00B26D8B">
      <w:pPr>
        <w:spacing w:after="160" w:line="240" w:lineRule="auto"/>
        <w:ind w:firstLine="540"/>
        <w:jc w:val="both"/>
        <w:rPr>
          <w:rFonts w:ascii="GHEA Grapalat" w:hAnsi="GHEA Grapalat" w:cs="GHEA Grapalat"/>
          <w:sz w:val="24"/>
          <w:szCs w:val="24"/>
        </w:rPr>
      </w:pPr>
      <w:bookmarkStart w:id="23" w:name="Par194"/>
      <w:bookmarkEnd w:id="23"/>
      <w:r w:rsidRPr="002B4545">
        <w:rPr>
          <w:rFonts w:ascii="GHEA Grapalat" w:hAnsi="GHEA Grapalat" w:cs="GHEA Grapalat"/>
          <w:sz w:val="24"/>
          <w:szCs w:val="24"/>
        </w:rPr>
        <w:t>2) հանձնարարականի մեջ նշված մաքսային հսկողության այլ ձեւերից բացի կիրառելու մաքսային հսկողության այլ ձեւեր,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մերժելու հանձնարարական ներկայացնող մաքսային մարմնին հանձնարարականը կատարելու հարցում՝ գրավոր ծանուցելով մերժման եւ դրա պատճառների մասին՝ սույն Համաձայնագրի 14-րդ հոդվածում նշված դեպքերում։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Հանձնարարական իրականացնող մաքսային մարմինը հանձնարարական ներկայացնող մաքսային մարմնին ուղարկում է հանձնարարականի պատասխանը, ինչպես նաեւ համապատասխան նյութերը հանձնարարականի նամակը ստորագրած պաշտոնյայի անունով։</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Հանձնարարական իրականացնող մաքսային մարմինը հանձնարարականին ի պատասխան ներկայացնում է՝</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մաքսային հսկողության իրականացված ձեւերի եւ դրանց արդյունքների մասին տեղեկատվություն (այդ թվում՝ սույն հոդվածի 2–րդ կետի 2–րդ ենթակետի համաձայն իրականացված մաքսային հսկողության արդյունքների մասին),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մաքսային հսկողության արդյունքներով ձեւակերպված փաստաթղթերի պատճենները,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 xml:space="preserve">3) հանձնարարական ներկայացնող մաքսային մարմնի կողմից պահանջվող փաստաթղթերը (կամ դրանց հաստատված պատճենները), նյութերը, ապրանքների նմուշառումները եւ նմուշները, </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այլ փաստաթղթեր (կամ դրանց հաստատված պատճենները) եւ տեղեկություններ, որոնք կարող են նպաստել հանձնարարական ներկայացնող մաքսային մարմնի կողմից որոշումների եւ միջոցների ընդունմանը, որոնք նախատեսված են Մաքսային միության մաքսային օրենսդրությամբ եւ (կամ) Մաքսային միության այն անդամ պետության օրենսդրությամբ, որի մաքսային մարմինը ուղարկել է հանձնարարականը։</w:t>
      </w:r>
    </w:p>
    <w:p w:rsidR="007232D5" w:rsidRPr="00B26D8B" w:rsidRDefault="007232D5" w:rsidP="00B26D8B">
      <w:pPr>
        <w:spacing w:after="160" w:line="240" w:lineRule="auto"/>
        <w:jc w:val="center"/>
        <w:rPr>
          <w:rFonts w:ascii="GHEA Grapalat" w:hAnsi="GHEA Grapalat" w:cs="GHEA Grapalat"/>
          <w:b/>
          <w:bCs/>
          <w:sz w:val="24"/>
          <w:szCs w:val="24"/>
        </w:rPr>
      </w:pPr>
      <w:bookmarkStart w:id="24" w:name="Par203"/>
      <w:bookmarkEnd w:id="24"/>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Հոդված 14</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Հանձնարարականի կատարումը մերժելը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Հանձնարարականի կատարումը մերժվում է, եթե</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հանձնարարականը չի համապատասխանում սույն Համաձայնագրի 12-րդ հոդվածում նշված պահանջներին,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հանձնարարական ներկայացնող մաքսային մարմինը չի ներկայացրել անհրաժեշտ տեղեկատվություն իր անունով լրացուցիչ տեղեկատվություն ուղարկելու մասին հարցում ուղարկելուց հետո երկու ամսվա ընթացքում, ինչը անհրաժեշտ է հանձնարարականը կատարելու համար,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հանձնարարականի կատարումը կարող է վնաս հասցնել Մաքսային միության անդամ պետության ինքնիշխանությանը, ազգային անվտանգությանը, որի մաքսային մարմին ուղարկվել է հանձնարարականը,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հանձնարարականն օբյեկտիվորեն չի կարող կատարվել հանձնարարական իրականացնող մաքսային մարմնից անկախ պատճառներով,</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5) հանձնարարականը կատարող մաքսային մարմինը մաքսային հսկողություն իրականացնելու համար բավարար չի համարում այն հիմքերը, որոնք նշված են հանձնարարականում սույն Համաձայնագրի 11–րդ հոդվածի 2–րդ կետի համաձայն։</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0" w:line="240" w:lineRule="auto"/>
        <w:rPr>
          <w:rFonts w:ascii="GHEA Grapalat" w:hAnsi="GHEA Grapalat" w:cs="GHEA Grapalat"/>
          <w:b/>
          <w:bCs/>
          <w:sz w:val="24"/>
          <w:szCs w:val="24"/>
        </w:rPr>
      </w:pPr>
      <w:bookmarkStart w:id="25" w:name="Par214"/>
      <w:bookmarkEnd w:id="25"/>
      <w:r w:rsidRPr="002B4545">
        <w:rPr>
          <w:rFonts w:ascii="GHEA Grapalat" w:hAnsi="GHEA Grapalat" w:cs="GHEA Grapalat"/>
          <w:b/>
          <w:bCs/>
          <w:sz w:val="24"/>
          <w:szCs w:val="24"/>
        </w:rPr>
        <w:br w:type="page"/>
      </w: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Մաս IV. Ռիսկերի կառավարման համակարգի կիրառմամբ մաքսային հսկողության առանձին ձեւերի իրականացումը</w:t>
      </w:r>
    </w:p>
    <w:p w:rsidR="007232D5" w:rsidRPr="002B4545"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26" w:name="Par217"/>
      <w:bookmarkEnd w:id="26"/>
      <w:r w:rsidRPr="002B4545">
        <w:rPr>
          <w:rFonts w:ascii="GHEA Grapalat" w:hAnsi="GHEA Grapalat" w:cs="GHEA Grapalat"/>
          <w:b/>
          <w:bCs/>
          <w:sz w:val="24"/>
          <w:szCs w:val="24"/>
        </w:rPr>
        <w:t>Հոդված 15</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Մաքսային միության մաքսային օրենսդրության եւ (կամ) Մաքսային միության անդամ պետությունների օրենսդրության խախտումների ռիսկերի մասին տեղեկատվության օգտագործման կարգը ռիսկերի կառավարման համակարգի շրջանակում</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Կենտրոնական մաքսային մարմիններն իրավունք ունեն տեղեկատվություն ներկայացնելու Մաքսային միության մաքսային օրենսդրության եւ (կամ) Մաքսային միության անդամ պետությունների օրենսդրության խախտումների ռիսկերի մասին (այսուհետ՝ տեղեկատվություն ռիսկերի մասին)։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Կենտրոնական մաքսային մարմիններից մեկի կողմից մյուս կենտրոնական մաքսային մարմնից ռիսկերի մասին տեղեկատվություն ստանալու դեպքում, տեղեկություն ռիսկերի վերլուծություն եւ կառավարման ոլորտում լիազորված ստորաբաժանման պաշտոնատար անձինք՝</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դա վերլուծում են Մաքսային միության անդամ պետության օրենսդրության հետ համապատասխանության համատեքստում,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որոշում են, թե հնարավոր է դա օգտագործել հատուկ ծրագրային միջոցների շրջանակում, որոնք կիրառվում են ռիսկերի կառավարման համակարգերի շրջանակում,</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որոշում են բացահայտված ռիսկի աստիճանը եւ ռիսկի հնարավոր բացասական հետեւանքները,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որոշում են գործնական իրականացման հնարավորությունը՝ հաշվի առնելով մաքսային հսկողության իրականացման տեխնոլոգիայի առանձնահատկությունները, որոնք սահմանվել են Մաքսային միության անդամ պետության օրենսդրության համաձայն,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հաշվի են առնում այն հիմքերը, որոնք նշանակություն ունեն մաքսային հսկողություն իրականացնելու համար։</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Ռիսկերի մասին տեղեկատվության վերլուծության արդյունքներով կարող է ընդունվել որոշում մաքսային հսկողության նպատակներով այն կիրառելու կամ մերժելու մասին։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 xml:space="preserve">3. Կենտրոնական մաքսային մարմիններից մեկի կողմից ստացված ռիսկերի մասին տեղեկատվությունը մերժելու դեպքում, տեղեկատվություն ստացած մաքսային մարմինը սահմանված կարգով տեղեկացնում է շահագրգիռ կողմին տեղեկատվությունը մերժելու պատճառների մասին։ </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4. Մաքսային հսկողության նպատակներով ռիսկերի մասին տեղեկատվության օգտագործման մասին որոշում ընդունելու դեպքում, մաքսային մարմինը գործողությունների է իրականացնում Մաքսային միության անդամ պետության օրենսդրությամբ սահմանված կարգով։</w:t>
      </w:r>
    </w:p>
    <w:p w:rsidR="007232D5" w:rsidRPr="002B4545" w:rsidRDefault="007232D5" w:rsidP="00B26D8B">
      <w:pPr>
        <w:spacing w:after="160" w:line="240" w:lineRule="auto"/>
        <w:ind w:firstLine="540"/>
        <w:jc w:val="both"/>
        <w:rPr>
          <w:rFonts w:ascii="GHEA Grapalat" w:hAnsi="GHEA Grapalat" w:cs="GHEA Grapalat"/>
          <w:sz w:val="24"/>
          <w:szCs w:val="24"/>
        </w:rPr>
      </w:pPr>
    </w:p>
    <w:p w:rsidR="007232D5" w:rsidRDefault="007232D5" w:rsidP="00B26D8B">
      <w:pPr>
        <w:spacing w:after="0" w:line="240" w:lineRule="auto"/>
        <w:rPr>
          <w:rFonts w:ascii="GHEA Grapalat" w:hAnsi="GHEA Grapalat" w:cs="GHEA Grapalat"/>
          <w:b/>
          <w:bCs/>
          <w:sz w:val="24"/>
          <w:szCs w:val="24"/>
        </w:rPr>
      </w:pPr>
      <w:bookmarkStart w:id="27" w:name="Par235"/>
      <w:bookmarkEnd w:id="27"/>
      <w:r>
        <w:rPr>
          <w:rFonts w:ascii="GHEA Grapalat" w:hAnsi="GHEA Grapalat" w:cs="GHEA Grapalat"/>
          <w:b/>
          <w:bCs/>
          <w:sz w:val="24"/>
          <w:szCs w:val="24"/>
        </w:rPr>
        <w:br w:type="page"/>
      </w: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Մաս V. Մաքսային մարմինների կողմից ընդունված որոշումների փոխադարձ ճանաչումը</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28" w:name="Par238"/>
      <w:bookmarkEnd w:id="28"/>
      <w:r w:rsidRPr="002B4545">
        <w:rPr>
          <w:rFonts w:ascii="GHEA Grapalat" w:hAnsi="GHEA Grapalat" w:cs="GHEA Grapalat"/>
          <w:b/>
          <w:bCs/>
          <w:sz w:val="24"/>
          <w:szCs w:val="24"/>
        </w:rPr>
        <w:t>Հոդված 16</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Ռիսկերի կառավարման համակարգերի համաձայնեցման հարցերով Կողմերի փոխգործակցությունը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Կողմերի կենտրոնական մաքսային մարմինները կարող են փոխգործակցել՝ Մաքսային միության տարածքում ռիսկերի կառավարման համակարգերի համաձայնեցման նպատակներով։</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29" w:name="Par245"/>
      <w:bookmarkEnd w:id="29"/>
      <w:r w:rsidRPr="002B4545">
        <w:rPr>
          <w:rFonts w:ascii="GHEA Grapalat" w:hAnsi="GHEA Grapalat" w:cs="GHEA Grapalat"/>
          <w:b/>
          <w:bCs/>
          <w:sz w:val="24"/>
          <w:szCs w:val="24"/>
        </w:rPr>
        <w:t>Հոդված 17</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Մաքսային մարմինների որոշումները, որոնք ենթակա են փոխադարձ ճանաչման</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Մաքսային միության մաքսային տարածքում փոխադարձաբար ճանաչվում են եւ ունեն հավասար իրավաբանական ուժ մաքսային մարմինների այն որոշումները՝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որոնք ընդունվել են Մաքսային միության մաքսային օրենսդրության համաձայն Մաքսային միության մաքսային տարածք ներմուծվող՝ մաքսային հսկողության տակ գտնվող եւ ժամանակավոր պահպանման տակ գտնվող ապրանքների հետ կապված մաքսային ձեւակերպումներ կատարելիս, որոնք փոխադրվում են Մաքսային միության մաքսային տարածքով մաքսային տարանցիկ փոխադրման մաքսային ընթացակարգերի համաձայն,</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որոնք ընդունվել են Մաքսային միության մաքսային օրենսդրության համաձայն՝ մաքսային հսկողություն իրականացնելիս։</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30" w:name="Par253"/>
      <w:bookmarkEnd w:id="30"/>
      <w:r w:rsidRPr="002B4545">
        <w:rPr>
          <w:rFonts w:ascii="GHEA Grapalat" w:hAnsi="GHEA Grapalat" w:cs="GHEA Grapalat"/>
          <w:b/>
          <w:bCs/>
          <w:sz w:val="24"/>
          <w:szCs w:val="24"/>
        </w:rPr>
        <w:t>Մաս VI. Եզրափակիչ դրույթներ</w:t>
      </w:r>
    </w:p>
    <w:p w:rsidR="007232D5" w:rsidRPr="002B4545"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31" w:name="Par255"/>
      <w:bookmarkEnd w:id="31"/>
      <w:r w:rsidRPr="002B4545">
        <w:rPr>
          <w:rFonts w:ascii="GHEA Grapalat" w:hAnsi="GHEA Grapalat" w:cs="GHEA Grapalat"/>
          <w:b/>
          <w:bCs/>
          <w:sz w:val="24"/>
          <w:szCs w:val="24"/>
        </w:rPr>
        <w:t>Հոդված 18</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Տեղեկատվության օգտագործումը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Սույն Համաձայնագրի համաձայն ստացված տեղեկատվությունն ունի գաղտնի բնույթ եւ կարող է օգտագործվել միայն մաքսային նպատակներով, այդ թվում՝ դատարանում, ինչպես նաեւ վարչական իրավախախտումների եւ հանցագործությունների կանխարգելման նպատակով։ Այլ նպատակներով այն կարող է օգտագործվել միայն այն մաքսային մարմնի գրավոր համաձայնության դեպքում, որը ներկայացրել է այդ տեղեկատվությունը։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Սույն Համաձայնագրի համաձայն մաքսային մարմիններից ստացված տեղեկատվության մասով ապահովվում է գաղտնիության նույնպիսի ռեժիմով, ինչ նախատեսված է համարժեք բնույթի եւ բովանդակության տեղեկատվության համար Մաքսային միության անդամ պետության օրենսդրությամբ։</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32" w:name="Par262"/>
      <w:bookmarkEnd w:id="32"/>
      <w:r w:rsidRPr="002B4545">
        <w:rPr>
          <w:rFonts w:ascii="GHEA Grapalat" w:hAnsi="GHEA Grapalat" w:cs="GHEA Grapalat"/>
          <w:b/>
          <w:bCs/>
          <w:sz w:val="24"/>
          <w:szCs w:val="24"/>
        </w:rPr>
        <w:t>Հոդված 19</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Լեզուն</w:t>
      </w:r>
    </w:p>
    <w:p w:rsidR="007232D5" w:rsidRPr="00B26D8B" w:rsidRDefault="007232D5" w:rsidP="00B26D8B">
      <w:pPr>
        <w:spacing w:after="160" w:line="240" w:lineRule="auto"/>
        <w:jc w:val="center"/>
        <w:rPr>
          <w:rFonts w:ascii="GHEA Grapalat" w:hAnsi="GHEA Grapalat" w:cs="GHEA Grapalat"/>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Սույն Համաձայնագրի շրջանակներում գրագրությունն ու տեղեկատվության փոխանակումը կատարվում է ռուսերեն</w:t>
      </w:r>
      <w:r w:rsidRPr="00B26D8B">
        <w:rPr>
          <w:rFonts w:ascii="GHEA Grapalat" w:hAnsi="GHEA Grapalat" w:cs="GHEA Grapalat"/>
          <w:sz w:val="24"/>
          <w:szCs w:val="24"/>
        </w:rPr>
        <w:t xml:space="preserve"> լեզվ</w:t>
      </w:r>
      <w:r w:rsidRPr="002B4545">
        <w:rPr>
          <w:rFonts w:ascii="GHEA Grapalat" w:hAnsi="GHEA Grapalat" w:cs="GHEA Grapalat"/>
          <w:sz w:val="24"/>
          <w:szCs w:val="24"/>
        </w:rPr>
        <w:t>ով։</w:t>
      </w:r>
    </w:p>
    <w:p w:rsidR="007232D5" w:rsidRPr="00B26D8B" w:rsidRDefault="007232D5" w:rsidP="00B26D8B">
      <w:pPr>
        <w:spacing w:after="160" w:line="240" w:lineRule="auto"/>
        <w:jc w:val="center"/>
        <w:rPr>
          <w:rFonts w:ascii="GHEA Grapalat" w:hAnsi="GHEA Grapalat" w:cs="GHEA Grapalat"/>
          <w:b/>
          <w:bCs/>
          <w:sz w:val="24"/>
          <w:szCs w:val="24"/>
        </w:rPr>
      </w:pPr>
      <w:bookmarkStart w:id="33" w:name="Par268"/>
      <w:bookmarkEnd w:id="33"/>
    </w:p>
    <w:p w:rsidR="007232D5" w:rsidRDefault="007232D5" w:rsidP="00B26D8B">
      <w:pPr>
        <w:spacing w:after="160" w:line="240" w:lineRule="auto"/>
        <w:jc w:val="center"/>
        <w:rPr>
          <w:rFonts w:ascii="GHEA Grapalat" w:hAnsi="GHEA Grapalat" w:cs="GHEA Grapalat"/>
          <w:b/>
          <w:bCs/>
          <w:sz w:val="24"/>
          <w:szCs w:val="24"/>
        </w:rPr>
      </w:pPr>
    </w:p>
    <w:p w:rsidR="007232D5" w:rsidRDefault="007232D5" w:rsidP="00B26D8B">
      <w:pPr>
        <w:spacing w:after="160" w:line="240" w:lineRule="auto"/>
        <w:jc w:val="center"/>
        <w:rPr>
          <w:rFonts w:ascii="GHEA Grapalat" w:hAnsi="GHEA Grapalat" w:cs="GHEA Grapalat"/>
          <w:b/>
          <w:bCs/>
          <w:sz w:val="24"/>
          <w:szCs w:val="24"/>
        </w:rPr>
      </w:pPr>
    </w:p>
    <w:p w:rsidR="007232D5"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Հոդված 20</w:t>
      </w:r>
    </w:p>
    <w:p w:rsidR="007232D5" w:rsidRPr="00B26D8B"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Վեճերի կարգավորումը</w:t>
      </w:r>
    </w:p>
    <w:p w:rsidR="007232D5" w:rsidRPr="00B26D8B"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1. Կողմերի միջեւ սույն Համաձայնագրի դրույթների մեկնաբանման եւ (կամ) կիրառման հետ կապված վեճերը կարգավորվում են, առաջին հերթին, բանակցությունների եւ խորհրդակցությունների միջոցով։</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2. Եթե Կողմերը բանակցությունների եւ խորհրդակցությունների միջոցով չեն կարգավորում վեճը՝ դրանք անցկացնելու վերաբերյալ վեճի կողմերից մեկի կողմից մյուս կողմին ուղղված պաշտոնական գրավոր խնդրանքի ներկայացման ամսաթվից հետո վեց ամսվա ընթացքում, ապա վեճի կարգավորման միջոցների վերաբերյալ Կողմերի միջեւ այլ պայմանավորվածության բացակայության դեպքում, վեճի կողմերից յուրաքանչյուրը կարող է այդ վեճը փոխանցել Եվրասիական տնտեսական համայնքի դատարանի քննությանը։</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3. Մաքսային միության հանձնաժողովը Կողմերին աջակցություն է ցուցաբերում վեճի կարգավորման հարցում՝ նախքան այդ վեճը Եվրասիական տնտեսական համայնքի դատարանի քննությանը փոխանցելը։</w:t>
      </w: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34" w:name="Par276"/>
      <w:bookmarkEnd w:id="34"/>
      <w:r w:rsidRPr="002B4545">
        <w:rPr>
          <w:rFonts w:ascii="GHEA Grapalat" w:hAnsi="GHEA Grapalat" w:cs="GHEA Grapalat"/>
          <w:b/>
          <w:bCs/>
          <w:sz w:val="24"/>
          <w:szCs w:val="24"/>
        </w:rPr>
        <w:t>Հոդված 21</w:t>
      </w: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Փոփոխությունների կատարումը</w:t>
      </w:r>
    </w:p>
    <w:p w:rsidR="007232D5" w:rsidRPr="002B4545"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Սույն Համաձայնագրում կարող են կատարվել փոփոխություններ, որոնք ձեւակերպվում են սույն Համաձայնագրի անբաժանելի մասը կազմող առանձին արձանագրություններով։</w:t>
      </w:r>
    </w:p>
    <w:p w:rsidR="007232D5" w:rsidRDefault="007232D5" w:rsidP="00B26D8B">
      <w:pPr>
        <w:spacing w:after="160" w:line="240" w:lineRule="auto"/>
        <w:ind w:firstLine="540"/>
        <w:jc w:val="both"/>
        <w:rPr>
          <w:rFonts w:ascii="GHEA Grapalat" w:hAnsi="GHEA Grapalat" w:cs="GHEA Grapalat"/>
          <w:sz w:val="24"/>
          <w:szCs w:val="24"/>
        </w:rPr>
      </w:pPr>
    </w:p>
    <w:p w:rsidR="007232D5" w:rsidRDefault="007232D5" w:rsidP="00B26D8B">
      <w:pPr>
        <w:spacing w:after="160" w:line="240" w:lineRule="auto"/>
        <w:ind w:firstLine="540"/>
        <w:jc w:val="both"/>
        <w:rPr>
          <w:rFonts w:ascii="GHEA Grapalat" w:hAnsi="GHEA Grapalat" w:cs="GHEA Grapalat"/>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p>
    <w:p w:rsidR="007232D5" w:rsidRPr="002B4545" w:rsidRDefault="007232D5" w:rsidP="00B26D8B">
      <w:pPr>
        <w:spacing w:after="160" w:line="240" w:lineRule="auto"/>
        <w:jc w:val="center"/>
        <w:rPr>
          <w:rFonts w:ascii="GHEA Grapalat" w:hAnsi="GHEA Grapalat" w:cs="GHEA Grapalat"/>
          <w:b/>
          <w:bCs/>
          <w:sz w:val="24"/>
          <w:szCs w:val="24"/>
        </w:rPr>
      </w:pPr>
      <w:bookmarkStart w:id="35" w:name="Par282"/>
      <w:bookmarkEnd w:id="35"/>
      <w:r w:rsidRPr="002B4545">
        <w:rPr>
          <w:rFonts w:ascii="GHEA Grapalat" w:hAnsi="GHEA Grapalat" w:cs="GHEA Grapalat"/>
          <w:b/>
          <w:bCs/>
          <w:sz w:val="24"/>
          <w:szCs w:val="24"/>
        </w:rPr>
        <w:t>Հոդված 22</w:t>
      </w:r>
    </w:p>
    <w:p w:rsidR="007232D5" w:rsidRPr="002B4545" w:rsidRDefault="007232D5" w:rsidP="00B26D8B">
      <w:pPr>
        <w:spacing w:after="160" w:line="240" w:lineRule="auto"/>
        <w:jc w:val="center"/>
        <w:rPr>
          <w:rFonts w:ascii="GHEA Grapalat" w:hAnsi="GHEA Grapalat" w:cs="GHEA Grapalat"/>
          <w:b/>
          <w:bCs/>
          <w:sz w:val="24"/>
          <w:szCs w:val="24"/>
        </w:rPr>
      </w:pPr>
      <w:r w:rsidRPr="002B4545">
        <w:rPr>
          <w:rFonts w:ascii="GHEA Grapalat" w:hAnsi="GHEA Grapalat" w:cs="GHEA Grapalat"/>
          <w:b/>
          <w:bCs/>
          <w:sz w:val="24"/>
          <w:szCs w:val="24"/>
        </w:rPr>
        <w:t>Եզրափակիչ դրույթներ</w:t>
      </w:r>
    </w:p>
    <w:p w:rsidR="007232D5" w:rsidRPr="002B4545" w:rsidRDefault="007232D5" w:rsidP="00B26D8B">
      <w:pPr>
        <w:spacing w:after="160" w:line="240" w:lineRule="auto"/>
        <w:jc w:val="center"/>
        <w:rPr>
          <w:rFonts w:ascii="GHEA Grapalat" w:hAnsi="GHEA Grapalat" w:cs="GHEA Grapalat"/>
          <w:b/>
          <w:bCs/>
          <w:sz w:val="24"/>
          <w:szCs w:val="24"/>
        </w:rPr>
      </w:pP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Սույն Համաձայնագիրը ենթակա է վավերացման եւ ժամանակավորապես կիրառվում է «Մաքսային միության մաքսային օրենսգրքի մասին» 2009 թվականի նոյեմբերի 27-ի պայմանագիրն ուժի մեջ մտնելու օրվանից։</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Սույն Համաձայնագիրն ուժի մեջ է մտնում Կողմերի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Կատարված է Սանկտ Պետերբուրգ քաղաքում, 2010 թվականի մայիսի 21–ին, մեկ բնօրինակից՝ ռուսերենով։</w:t>
      </w:r>
    </w:p>
    <w:p w:rsidR="007232D5" w:rsidRPr="002B4545" w:rsidRDefault="007232D5" w:rsidP="00B26D8B">
      <w:pPr>
        <w:spacing w:after="160" w:line="240" w:lineRule="auto"/>
        <w:ind w:firstLine="540"/>
        <w:jc w:val="both"/>
        <w:rPr>
          <w:rFonts w:ascii="GHEA Grapalat" w:hAnsi="GHEA Grapalat" w:cs="GHEA Grapalat"/>
          <w:sz w:val="24"/>
          <w:szCs w:val="24"/>
        </w:rPr>
      </w:pPr>
      <w:r w:rsidRPr="002B4545">
        <w:rPr>
          <w:rFonts w:ascii="GHEA Grapalat" w:hAnsi="GHEA Grapalat" w:cs="GHEA Grapalat"/>
          <w:sz w:val="24"/>
          <w:szCs w:val="24"/>
        </w:rPr>
        <w:t>Սույն Համաձայնագրի բնօրինակը պահվում է Մաքսային միության հանձնաժողովում, որը յուրաքանչյուր Կողմի կտրամադրի դրա հաստատված պատճենը։</w:t>
      </w:r>
    </w:p>
    <w:tbl>
      <w:tblPr>
        <w:tblW w:w="0" w:type="auto"/>
        <w:tblInd w:w="-106" w:type="dxa"/>
        <w:tblLook w:val="01E0"/>
      </w:tblPr>
      <w:tblGrid>
        <w:gridCol w:w="3284"/>
        <w:gridCol w:w="3285"/>
        <w:gridCol w:w="3285"/>
      </w:tblGrid>
      <w:tr w:rsidR="007232D5" w:rsidTr="00A375B0">
        <w:tc>
          <w:tcPr>
            <w:tcW w:w="3284" w:type="dxa"/>
          </w:tcPr>
          <w:p w:rsidR="007232D5" w:rsidRPr="00DF1F19" w:rsidRDefault="007232D5" w:rsidP="00A375B0">
            <w:pPr>
              <w:spacing w:after="0" w:line="240" w:lineRule="auto"/>
              <w:ind w:firstLine="567"/>
              <w:jc w:val="center"/>
              <w:rPr>
                <w:rFonts w:ascii="GHEA Grapalat" w:hAnsi="GHEA Grapalat" w:cs="GHEA Grapalat"/>
                <w:b/>
                <w:bCs/>
                <w:sz w:val="24"/>
                <w:szCs w:val="24"/>
              </w:rPr>
            </w:pPr>
            <w:r w:rsidRPr="00DF1F19">
              <w:rPr>
                <w:rFonts w:ascii="GHEA Grapalat" w:hAnsi="GHEA Grapalat" w:cs="GHEA Grapalat"/>
                <w:b/>
                <w:bCs/>
                <w:sz w:val="24"/>
                <w:szCs w:val="24"/>
              </w:rPr>
              <w:t>Բելառուսի Հանրապետության Կառավարության կողմից</w:t>
            </w:r>
          </w:p>
          <w:p w:rsidR="007232D5" w:rsidRPr="00DF1F19" w:rsidRDefault="007232D5" w:rsidP="00A375B0">
            <w:pPr>
              <w:spacing w:after="0" w:line="240" w:lineRule="auto"/>
              <w:ind w:firstLine="567"/>
              <w:jc w:val="center"/>
              <w:rPr>
                <w:rFonts w:ascii="GHEA Grapalat" w:hAnsi="GHEA Grapalat" w:cs="GHEA Grapalat"/>
                <w:sz w:val="24"/>
                <w:szCs w:val="24"/>
              </w:rPr>
            </w:pPr>
          </w:p>
          <w:p w:rsidR="007232D5" w:rsidRPr="00DF1F19" w:rsidRDefault="007232D5" w:rsidP="00A375B0">
            <w:pPr>
              <w:spacing w:after="0" w:line="240" w:lineRule="auto"/>
              <w:ind w:firstLine="567"/>
              <w:jc w:val="center"/>
              <w:rPr>
                <w:rFonts w:ascii="GHEA Grapalat" w:hAnsi="GHEA Grapalat" w:cs="GHEA Grapalat"/>
                <w:sz w:val="24"/>
                <w:szCs w:val="24"/>
              </w:rPr>
            </w:pPr>
            <w:r w:rsidRPr="00DF1F19">
              <w:rPr>
                <w:rFonts w:ascii="GHEA Grapalat" w:hAnsi="GHEA Grapalat" w:cs="GHEA Grapalat"/>
                <w:sz w:val="24"/>
                <w:szCs w:val="24"/>
              </w:rPr>
              <w:t>(ստորագրություն)</w:t>
            </w:r>
          </w:p>
        </w:tc>
        <w:tc>
          <w:tcPr>
            <w:tcW w:w="3285" w:type="dxa"/>
          </w:tcPr>
          <w:p w:rsidR="007232D5" w:rsidRPr="00DF1F19" w:rsidRDefault="007232D5" w:rsidP="00A375B0">
            <w:pPr>
              <w:spacing w:after="0" w:line="240" w:lineRule="auto"/>
              <w:ind w:firstLine="567"/>
              <w:jc w:val="center"/>
              <w:rPr>
                <w:rFonts w:ascii="GHEA Grapalat" w:hAnsi="GHEA Grapalat" w:cs="GHEA Grapalat"/>
                <w:b/>
                <w:bCs/>
                <w:sz w:val="24"/>
                <w:szCs w:val="24"/>
              </w:rPr>
            </w:pPr>
            <w:r w:rsidRPr="00DF1F19">
              <w:rPr>
                <w:rFonts w:ascii="GHEA Grapalat" w:hAnsi="GHEA Grapalat" w:cs="GHEA Grapalat"/>
                <w:b/>
                <w:bCs/>
                <w:sz w:val="24"/>
                <w:szCs w:val="24"/>
              </w:rPr>
              <w:t>Ղազախստանի Հանրապետության Կառավարության կողմից</w:t>
            </w:r>
          </w:p>
          <w:p w:rsidR="007232D5" w:rsidRPr="00DF1F19" w:rsidRDefault="007232D5" w:rsidP="00A375B0">
            <w:pPr>
              <w:spacing w:after="0" w:line="240" w:lineRule="auto"/>
              <w:ind w:firstLine="567"/>
              <w:jc w:val="center"/>
              <w:rPr>
                <w:rFonts w:ascii="GHEA Grapalat" w:hAnsi="GHEA Grapalat" w:cs="GHEA Grapalat"/>
                <w:sz w:val="24"/>
                <w:szCs w:val="24"/>
              </w:rPr>
            </w:pPr>
          </w:p>
          <w:p w:rsidR="007232D5" w:rsidRPr="00DF1F19" w:rsidRDefault="007232D5" w:rsidP="00A375B0">
            <w:pPr>
              <w:spacing w:after="0" w:line="240" w:lineRule="auto"/>
              <w:ind w:firstLine="567"/>
              <w:jc w:val="center"/>
              <w:rPr>
                <w:rFonts w:ascii="GHEA Grapalat" w:hAnsi="GHEA Grapalat" w:cs="GHEA Grapalat"/>
                <w:sz w:val="24"/>
                <w:szCs w:val="24"/>
              </w:rPr>
            </w:pPr>
            <w:r w:rsidRPr="00DF1F19">
              <w:rPr>
                <w:rFonts w:ascii="GHEA Grapalat" w:hAnsi="GHEA Grapalat" w:cs="GHEA Grapalat"/>
                <w:sz w:val="24"/>
                <w:szCs w:val="24"/>
              </w:rPr>
              <w:t>(ստորագրություն)</w:t>
            </w:r>
          </w:p>
        </w:tc>
        <w:tc>
          <w:tcPr>
            <w:tcW w:w="3285" w:type="dxa"/>
          </w:tcPr>
          <w:p w:rsidR="007232D5" w:rsidRPr="00DF1F19" w:rsidRDefault="007232D5" w:rsidP="00A375B0">
            <w:pPr>
              <w:spacing w:after="0" w:line="240" w:lineRule="auto"/>
              <w:ind w:firstLine="567"/>
              <w:jc w:val="center"/>
              <w:rPr>
                <w:rFonts w:ascii="GHEA Grapalat" w:hAnsi="GHEA Grapalat" w:cs="GHEA Grapalat"/>
                <w:b/>
                <w:bCs/>
                <w:sz w:val="24"/>
                <w:szCs w:val="24"/>
              </w:rPr>
            </w:pPr>
            <w:r w:rsidRPr="00DF1F19">
              <w:rPr>
                <w:rFonts w:ascii="GHEA Grapalat" w:hAnsi="GHEA Grapalat" w:cs="GHEA Grapalat"/>
                <w:b/>
                <w:bCs/>
                <w:sz w:val="24"/>
                <w:szCs w:val="24"/>
              </w:rPr>
              <w:t>Ռուսաստանի Դաշնության Կառավարության կողմից</w:t>
            </w:r>
          </w:p>
          <w:p w:rsidR="007232D5" w:rsidRPr="00DF1F19" w:rsidRDefault="007232D5" w:rsidP="00A375B0">
            <w:pPr>
              <w:spacing w:after="0" w:line="240" w:lineRule="auto"/>
              <w:ind w:firstLine="567"/>
              <w:rPr>
                <w:rFonts w:ascii="GHEA Grapalat" w:hAnsi="GHEA Grapalat" w:cs="GHEA Grapalat"/>
                <w:sz w:val="24"/>
                <w:szCs w:val="24"/>
              </w:rPr>
            </w:pPr>
          </w:p>
          <w:p w:rsidR="007232D5" w:rsidRPr="00DF1F19" w:rsidRDefault="007232D5" w:rsidP="00A375B0">
            <w:pPr>
              <w:spacing w:after="0" w:line="240" w:lineRule="auto"/>
              <w:ind w:firstLine="567"/>
              <w:jc w:val="center"/>
              <w:rPr>
                <w:rFonts w:ascii="GHEA Grapalat" w:hAnsi="GHEA Grapalat" w:cs="GHEA Grapalat"/>
                <w:sz w:val="24"/>
                <w:szCs w:val="24"/>
              </w:rPr>
            </w:pPr>
            <w:r w:rsidRPr="00DF1F19">
              <w:rPr>
                <w:rFonts w:ascii="GHEA Grapalat" w:hAnsi="GHEA Grapalat" w:cs="GHEA Grapalat"/>
                <w:sz w:val="24"/>
                <w:szCs w:val="24"/>
              </w:rPr>
              <w:t>(ստորագրություն)</w:t>
            </w:r>
          </w:p>
        </w:tc>
      </w:tr>
    </w:tbl>
    <w:p w:rsidR="007232D5" w:rsidRPr="00137269" w:rsidRDefault="007232D5" w:rsidP="00B26D8B">
      <w:pPr>
        <w:spacing w:after="0" w:line="240" w:lineRule="auto"/>
        <w:ind w:firstLine="567"/>
      </w:pPr>
    </w:p>
    <w:p w:rsidR="007232D5" w:rsidRPr="002B4545" w:rsidRDefault="007232D5" w:rsidP="00B26D8B">
      <w:pPr>
        <w:spacing w:after="160" w:line="240" w:lineRule="auto"/>
        <w:rPr>
          <w:rFonts w:ascii="GHEA Grapalat" w:hAnsi="GHEA Grapalat" w:cs="GHEA Grapalat"/>
          <w:sz w:val="24"/>
          <w:szCs w:val="24"/>
        </w:rPr>
      </w:pPr>
    </w:p>
    <w:p w:rsidR="007232D5" w:rsidRPr="002B4545" w:rsidRDefault="007232D5" w:rsidP="00B26D8B">
      <w:pPr>
        <w:spacing w:after="160" w:line="240" w:lineRule="auto"/>
        <w:rPr>
          <w:rFonts w:ascii="GHEA Grapalat" w:hAnsi="GHEA Grapalat" w:cs="GHEA Grapalat"/>
          <w:sz w:val="24"/>
          <w:szCs w:val="24"/>
        </w:rPr>
      </w:pPr>
      <w:bookmarkStart w:id="36" w:name="_GoBack"/>
      <w:bookmarkEnd w:id="36"/>
    </w:p>
    <w:sectPr w:rsidR="007232D5" w:rsidRPr="002B4545" w:rsidSect="00551CB5">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1DB2"/>
    <w:rsid w:val="00055F4A"/>
    <w:rsid w:val="00093A57"/>
    <w:rsid w:val="000E0B0E"/>
    <w:rsid w:val="000E6423"/>
    <w:rsid w:val="0013593C"/>
    <w:rsid w:val="00137269"/>
    <w:rsid w:val="001B6A74"/>
    <w:rsid w:val="001C3A2A"/>
    <w:rsid w:val="002B4545"/>
    <w:rsid w:val="00460A7C"/>
    <w:rsid w:val="00551CB5"/>
    <w:rsid w:val="007232D5"/>
    <w:rsid w:val="008A755F"/>
    <w:rsid w:val="008B7B4E"/>
    <w:rsid w:val="00945D79"/>
    <w:rsid w:val="0097547F"/>
    <w:rsid w:val="009F2EDD"/>
    <w:rsid w:val="009F4501"/>
    <w:rsid w:val="00A375B0"/>
    <w:rsid w:val="00A92439"/>
    <w:rsid w:val="00AF0503"/>
    <w:rsid w:val="00B26D8B"/>
    <w:rsid w:val="00C5554E"/>
    <w:rsid w:val="00CA31EB"/>
    <w:rsid w:val="00CB2848"/>
    <w:rsid w:val="00CB53FB"/>
    <w:rsid w:val="00CD1A9B"/>
    <w:rsid w:val="00DC1CF6"/>
    <w:rsid w:val="00DF1F19"/>
    <w:rsid w:val="00E7188D"/>
    <w:rsid w:val="00F147A5"/>
    <w:rsid w:val="00F81DB2"/>
    <w:rsid w:val="00F9063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Cell">
    <w:name w:val="ConsPlusCell"/>
    <w:uiPriority w:val="99"/>
    <w:rsid w:val="00F81DB2"/>
    <w:pPr>
      <w:widowControl w:val="0"/>
      <w:autoSpaceDE w:val="0"/>
      <w:autoSpaceDN w:val="0"/>
      <w:adjustRightInd w:val="0"/>
    </w:pPr>
    <w:rPr>
      <w:rFonts w:eastAsia="Times New Roman" w:cs="Calibri"/>
      <w:lang w:val="hy-AM" w:eastAsia="hy-AM"/>
    </w:rPr>
  </w:style>
  <w:style w:type="character" w:styleId="Hyperlink">
    <w:name w:val="Hyperlink"/>
    <w:basedOn w:val="DefaultParagraphFont"/>
    <w:uiPriority w:val="99"/>
    <w:rPr>
      <w:color w:val="0000FF"/>
      <w:u w:val="single"/>
      <w:lang w:val="hy-AM" w:eastAsia="hy-AM"/>
    </w:rPr>
  </w:style>
  <w:style w:type="table" w:styleId="TableGrid">
    <w:name w:val="Table Grid"/>
    <w:basedOn w:val="TableNormal"/>
    <w:uiPriority w:val="99"/>
    <w:rsid w:val="00DC1CF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17</Pages>
  <Words>3682</Words>
  <Characters>20990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Кулматова Умыт Жасыузаковна</dc:creator>
  <cp:keywords/>
  <dc:description/>
  <cp:lastModifiedBy>LEGAL</cp:lastModifiedBy>
  <cp:revision>4</cp:revision>
  <dcterms:created xsi:type="dcterms:W3CDTF">2014-10-23T16:59:00Z</dcterms:created>
  <dcterms:modified xsi:type="dcterms:W3CDTF">2014-10-28T05:38:00Z</dcterms:modified>
</cp:coreProperties>
</file>