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6AF" w:rsidRPr="00005EE1" w:rsidRDefault="00E216AF" w:rsidP="00DD7C77">
      <w:pPr>
        <w:spacing w:after="160" w:line="240" w:lineRule="auto"/>
        <w:jc w:val="center"/>
        <w:rPr>
          <w:rFonts w:ascii="GHEA Grapalat" w:hAnsi="GHEA Grapalat" w:cs="GHEA Grapalat"/>
          <w:b/>
          <w:bCs/>
          <w:color w:val="000000"/>
          <w:sz w:val="24"/>
          <w:szCs w:val="24"/>
          <w:lang w:val="hy-AM"/>
        </w:rPr>
      </w:pPr>
      <w:r w:rsidRPr="00005EE1">
        <w:rPr>
          <w:rFonts w:ascii="GHEA Grapalat" w:hAnsi="GHEA Grapalat" w:cs="GHEA Grapalat"/>
          <w:b/>
          <w:bCs/>
          <w:color w:val="000000"/>
          <w:sz w:val="24"/>
          <w:szCs w:val="24"/>
          <w:lang w:val="hy-AM"/>
        </w:rPr>
        <w:t>ԱՐՁԱՆԱԳՐՈՒԹՅՈՒՆ</w:t>
      </w:r>
    </w:p>
    <w:p w:rsidR="00E216AF" w:rsidRPr="00005EE1" w:rsidRDefault="00E216AF" w:rsidP="00DD7C77">
      <w:pPr>
        <w:spacing w:after="160" w:line="240" w:lineRule="auto"/>
        <w:jc w:val="center"/>
        <w:rPr>
          <w:rFonts w:ascii="GHEA Grapalat" w:hAnsi="GHEA Grapalat" w:cs="GHEA Grapalat"/>
          <w:b/>
          <w:bCs/>
          <w:color w:val="000000"/>
          <w:sz w:val="24"/>
          <w:szCs w:val="24"/>
          <w:lang w:val="hy-AM"/>
        </w:rPr>
      </w:pPr>
    </w:p>
    <w:p w:rsidR="00E216AF" w:rsidRPr="00005EE1" w:rsidRDefault="00E216AF" w:rsidP="00DD7C77">
      <w:pPr>
        <w:spacing w:after="160" w:line="240" w:lineRule="auto"/>
        <w:jc w:val="center"/>
        <w:rPr>
          <w:rFonts w:ascii="GHEA Grapalat" w:hAnsi="GHEA Grapalat" w:cs="GHEA Grapalat"/>
          <w:b/>
          <w:bCs/>
          <w:color w:val="000000"/>
          <w:sz w:val="24"/>
          <w:szCs w:val="24"/>
          <w:lang w:val="hy-AM"/>
        </w:rPr>
      </w:pPr>
      <w:r w:rsidRPr="00005EE1">
        <w:rPr>
          <w:rFonts w:ascii="GHEA Grapalat" w:hAnsi="GHEA Grapalat" w:cs="GHEA Grapalat"/>
          <w:b/>
          <w:bCs/>
          <w:color w:val="000000"/>
          <w:sz w:val="24"/>
          <w:szCs w:val="24"/>
          <w:lang w:val="hy-AM"/>
        </w:rPr>
        <w:t>ՄԱՔՍԱՅԻՆ ՄԻՈՒԹՅԱՆ ՍԱԿԱԳՆԱՅԻՆ ԱՐՏՈՆՈՒԹՅՈՒՆՆԵՐԻ ՄԻԱՍՆԱԿԱՆ ՀԱՄԱԿԱՐԳԻ ՄԱՍԻՆ</w:t>
      </w:r>
    </w:p>
    <w:p w:rsidR="00E216AF" w:rsidRPr="00005EE1" w:rsidRDefault="00E216AF" w:rsidP="00DD7C77">
      <w:pPr>
        <w:spacing w:after="160" w:line="240" w:lineRule="auto"/>
        <w:jc w:val="center"/>
        <w:rPr>
          <w:rFonts w:ascii="GHEA Grapalat" w:hAnsi="GHEA Grapalat" w:cs="GHEA Grapalat"/>
          <w:b/>
          <w:bCs/>
          <w:color w:val="000000"/>
          <w:sz w:val="24"/>
          <w:szCs w:val="24"/>
          <w:lang w:val="hy-AM"/>
        </w:rPr>
      </w:pP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Բելառուսի Հանրապետության Կառավարությունը, Ղազախստանի Հանրապետության Կառավարությունը եւ Ռուսաստանի Դաշնության Կառավարությունը, այսուհետ` Կողմերը,</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 xml:space="preserve">հիմնվելով 2008 թվականի հունվարի 25-ի «Միասնական մաքսային եւ սակագնային կարգավորումների մասին» համաձայնագրի վրա, </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տնտեսական ինտեգրման խորացմանը աջակցելու եւ բարեխիղճ մրցակցություն իրականացնելու նպատակով,</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ղեկավարվելով միջազգային առեւտրի համընդհանուր նորմերով եւ կանոններով,</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համաձայնեցին հետեւյալի մասին`</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p>
    <w:p w:rsidR="00E216AF" w:rsidRPr="00005EE1" w:rsidRDefault="00E216AF" w:rsidP="00DD7C77">
      <w:pPr>
        <w:spacing w:after="160" w:line="240" w:lineRule="auto"/>
        <w:jc w:val="center"/>
        <w:rPr>
          <w:rFonts w:ascii="GHEA Grapalat" w:hAnsi="GHEA Grapalat" w:cs="GHEA Grapalat"/>
          <w:b/>
          <w:bCs/>
          <w:color w:val="000000"/>
          <w:sz w:val="24"/>
          <w:szCs w:val="24"/>
          <w:lang w:val="hy-AM"/>
        </w:rPr>
      </w:pPr>
      <w:bookmarkStart w:id="0" w:name="Par12"/>
      <w:bookmarkEnd w:id="0"/>
      <w:r w:rsidRPr="00005EE1">
        <w:rPr>
          <w:rFonts w:ascii="GHEA Grapalat" w:hAnsi="GHEA Grapalat" w:cs="GHEA Grapalat"/>
          <w:b/>
          <w:bCs/>
          <w:color w:val="000000"/>
          <w:sz w:val="24"/>
          <w:szCs w:val="24"/>
          <w:lang w:val="hy-AM"/>
        </w:rPr>
        <w:t>Հոդված 1</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 xml:space="preserve">Այն պահից, երբ Կողմերը Մաքսային միության հանձնաժողովին (այսուհետ՝ Հանձնաժողով) տրամադրում են Միասնական մաքսային սակագին կիրառելու լիազորությունները, Կողմ պետությունների մաքսային տարածք կամ միասնական մաքսային տարածք զարգացող կամ թույլ զարգացած երկրներից ծագած եւ ներմուծվող ապրանքների ներմուծման սակագնային արտոնությունները տրամադրվում են միայն սույն Արձանագրության համաձայն: </w:t>
      </w:r>
    </w:p>
    <w:p w:rsidR="00E216AF" w:rsidRPr="00005EE1" w:rsidRDefault="00E216AF" w:rsidP="00DD7C77">
      <w:pPr>
        <w:spacing w:after="160" w:line="240" w:lineRule="auto"/>
        <w:jc w:val="both"/>
        <w:rPr>
          <w:rFonts w:ascii="GHEA Grapalat" w:hAnsi="GHEA Grapalat" w:cs="GHEA Grapalat"/>
          <w:color w:val="000000"/>
          <w:sz w:val="24"/>
          <w:szCs w:val="24"/>
          <w:lang w:val="hy-AM"/>
        </w:rPr>
      </w:pPr>
    </w:p>
    <w:p w:rsidR="00E216AF" w:rsidRPr="00005EE1" w:rsidRDefault="00E216AF" w:rsidP="00DD7C77">
      <w:pPr>
        <w:spacing w:after="160" w:line="240" w:lineRule="auto"/>
        <w:jc w:val="center"/>
        <w:rPr>
          <w:rFonts w:ascii="GHEA Grapalat" w:hAnsi="GHEA Grapalat" w:cs="GHEA Grapalat"/>
          <w:b/>
          <w:bCs/>
          <w:color w:val="000000"/>
          <w:sz w:val="24"/>
          <w:szCs w:val="24"/>
          <w:lang w:val="hy-AM"/>
        </w:rPr>
      </w:pPr>
      <w:bookmarkStart w:id="1" w:name="Par16"/>
      <w:bookmarkEnd w:id="1"/>
      <w:r w:rsidRPr="00005EE1">
        <w:rPr>
          <w:rFonts w:ascii="GHEA Grapalat" w:hAnsi="GHEA Grapalat" w:cs="GHEA Grapalat"/>
          <w:b/>
          <w:bCs/>
          <w:color w:val="000000"/>
          <w:sz w:val="24"/>
          <w:szCs w:val="24"/>
          <w:lang w:val="hy-AM"/>
        </w:rPr>
        <w:t>Հոդված 2</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Սակագնային արտոնությունների համակարգից օգտվող զարգացող երկրների ցանկը հաստատվում է Հանձնաժողովի կողմից:</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Այս ցանկում ներառվում են այն երկրները, որոնք Համաշխարհային բանկի կողմից չեն դասակարգվել որպես եկամտի բարձր մակարդակով երկրներ:</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Style w:val="hps"/>
          <w:rFonts w:ascii="GHEA Grapalat" w:hAnsi="GHEA Grapalat" w:cs="GHEA Grapalat"/>
          <w:color w:val="000000"/>
          <w:sz w:val="24"/>
          <w:szCs w:val="24"/>
          <w:lang w:val="hy-AM"/>
        </w:rPr>
        <w:t>Այն երկիրը, որը</w:t>
      </w:r>
      <w:r w:rsidRPr="00005EE1">
        <w:rPr>
          <w:rFonts w:ascii="GHEA Grapalat" w:hAnsi="GHEA Grapalat" w:cs="GHEA Grapalat"/>
          <w:color w:val="000000"/>
          <w:sz w:val="24"/>
          <w:szCs w:val="24"/>
          <w:lang w:val="hy-AM"/>
        </w:rPr>
        <w:t xml:space="preserve"> </w:t>
      </w:r>
      <w:r w:rsidRPr="00005EE1">
        <w:rPr>
          <w:rStyle w:val="hps"/>
          <w:rFonts w:ascii="GHEA Grapalat" w:hAnsi="GHEA Grapalat" w:cs="GHEA Grapalat"/>
          <w:color w:val="000000"/>
          <w:sz w:val="24"/>
          <w:szCs w:val="24"/>
          <w:lang w:val="hy-AM"/>
        </w:rPr>
        <w:t>Համաշխարհային</w:t>
      </w:r>
      <w:r w:rsidRPr="00005EE1">
        <w:rPr>
          <w:rFonts w:ascii="GHEA Grapalat" w:hAnsi="GHEA Grapalat" w:cs="GHEA Grapalat"/>
          <w:color w:val="000000"/>
          <w:sz w:val="24"/>
          <w:szCs w:val="24"/>
          <w:lang w:val="hy-AM"/>
        </w:rPr>
        <w:t xml:space="preserve"> </w:t>
      </w:r>
      <w:r w:rsidRPr="00005EE1">
        <w:rPr>
          <w:rStyle w:val="hps"/>
          <w:rFonts w:ascii="GHEA Grapalat" w:hAnsi="GHEA Grapalat" w:cs="GHEA Grapalat"/>
          <w:color w:val="000000"/>
          <w:sz w:val="24"/>
          <w:szCs w:val="24"/>
          <w:lang w:val="hy-AM"/>
        </w:rPr>
        <w:t>բանկի կողմից չի</w:t>
      </w:r>
      <w:r w:rsidRPr="00005EE1">
        <w:rPr>
          <w:rFonts w:ascii="GHEA Grapalat" w:hAnsi="GHEA Grapalat" w:cs="GHEA Grapalat"/>
          <w:color w:val="000000"/>
          <w:sz w:val="24"/>
          <w:szCs w:val="24"/>
          <w:lang w:val="hy-AM"/>
        </w:rPr>
        <w:t xml:space="preserve"> </w:t>
      </w:r>
      <w:r w:rsidRPr="00005EE1">
        <w:rPr>
          <w:rStyle w:val="hps"/>
          <w:rFonts w:ascii="GHEA Grapalat" w:hAnsi="GHEA Grapalat" w:cs="GHEA Grapalat"/>
          <w:color w:val="000000"/>
          <w:sz w:val="24"/>
          <w:szCs w:val="24"/>
          <w:lang w:val="hy-AM"/>
        </w:rPr>
        <w:t>դասակարգվել</w:t>
      </w:r>
      <w:r w:rsidRPr="00005EE1">
        <w:rPr>
          <w:rFonts w:ascii="GHEA Grapalat" w:hAnsi="GHEA Grapalat" w:cs="GHEA Grapalat"/>
          <w:color w:val="000000"/>
          <w:sz w:val="24"/>
          <w:szCs w:val="24"/>
          <w:lang w:val="hy-AM"/>
        </w:rPr>
        <w:t xml:space="preserve"> որպես եկամտի բարձր մակարդակով </w:t>
      </w:r>
      <w:r w:rsidRPr="00005EE1">
        <w:rPr>
          <w:rStyle w:val="hps"/>
          <w:rFonts w:ascii="GHEA Grapalat" w:hAnsi="GHEA Grapalat" w:cs="GHEA Grapalat"/>
          <w:color w:val="000000"/>
          <w:sz w:val="24"/>
          <w:szCs w:val="24"/>
          <w:lang w:val="hy-AM"/>
        </w:rPr>
        <w:t>երկիր</w:t>
      </w:r>
      <w:r w:rsidRPr="00005EE1">
        <w:rPr>
          <w:rFonts w:ascii="GHEA Grapalat" w:hAnsi="GHEA Grapalat" w:cs="GHEA Grapalat"/>
          <w:color w:val="000000"/>
          <w:sz w:val="24"/>
          <w:szCs w:val="24"/>
          <w:lang w:val="hy-AM"/>
        </w:rPr>
        <w:t xml:space="preserve">, </w:t>
      </w:r>
      <w:r w:rsidRPr="00005EE1">
        <w:rPr>
          <w:rStyle w:val="hps"/>
          <w:rFonts w:ascii="GHEA Grapalat" w:hAnsi="GHEA Grapalat" w:cs="GHEA Grapalat"/>
          <w:color w:val="000000"/>
          <w:sz w:val="24"/>
          <w:szCs w:val="24"/>
          <w:lang w:val="hy-AM"/>
        </w:rPr>
        <w:t>կարող</w:t>
      </w:r>
      <w:r w:rsidRPr="00005EE1">
        <w:rPr>
          <w:rFonts w:ascii="GHEA Grapalat" w:hAnsi="GHEA Grapalat" w:cs="GHEA Grapalat"/>
          <w:color w:val="000000"/>
          <w:sz w:val="24"/>
          <w:szCs w:val="24"/>
          <w:lang w:val="hy-AM"/>
        </w:rPr>
        <w:t xml:space="preserve"> է չ</w:t>
      </w:r>
      <w:r w:rsidRPr="00005EE1">
        <w:rPr>
          <w:rStyle w:val="hps"/>
          <w:rFonts w:ascii="GHEA Grapalat" w:hAnsi="GHEA Grapalat" w:cs="GHEA Grapalat"/>
          <w:color w:val="000000"/>
          <w:sz w:val="24"/>
          <w:szCs w:val="24"/>
          <w:lang w:val="hy-AM"/>
        </w:rPr>
        <w:t>ներառվել</w:t>
      </w:r>
      <w:r w:rsidRPr="00005EE1">
        <w:rPr>
          <w:rFonts w:ascii="GHEA Grapalat" w:hAnsi="GHEA Grapalat" w:cs="GHEA Grapalat"/>
          <w:color w:val="000000"/>
          <w:sz w:val="24"/>
          <w:szCs w:val="24"/>
          <w:lang w:val="hy-AM"/>
        </w:rPr>
        <w:t xml:space="preserve"> </w:t>
      </w:r>
      <w:r w:rsidRPr="00005EE1">
        <w:rPr>
          <w:rStyle w:val="hps"/>
          <w:rFonts w:ascii="GHEA Grapalat" w:hAnsi="GHEA Grapalat" w:cs="GHEA Grapalat"/>
          <w:color w:val="000000"/>
          <w:sz w:val="24"/>
          <w:szCs w:val="24"/>
          <w:lang w:val="hy-AM"/>
        </w:rPr>
        <w:t>նշված ցանկում</w:t>
      </w:r>
      <w:r w:rsidRPr="00005EE1">
        <w:rPr>
          <w:rFonts w:ascii="GHEA Grapalat" w:hAnsi="GHEA Grapalat" w:cs="GHEA Grapalat"/>
          <w:color w:val="000000"/>
          <w:sz w:val="24"/>
          <w:szCs w:val="24"/>
          <w:lang w:val="hy-AM"/>
        </w:rPr>
        <w:t xml:space="preserve"> </w:t>
      </w:r>
      <w:r w:rsidRPr="00005EE1">
        <w:rPr>
          <w:rStyle w:val="hps"/>
          <w:rFonts w:ascii="GHEA Grapalat" w:hAnsi="GHEA Grapalat" w:cs="GHEA Grapalat"/>
          <w:color w:val="000000"/>
          <w:sz w:val="24"/>
          <w:szCs w:val="24"/>
          <w:lang w:val="hy-AM"/>
        </w:rPr>
        <w:t>կամ հանվել</w:t>
      </w:r>
      <w:r w:rsidRPr="00005EE1">
        <w:rPr>
          <w:rFonts w:ascii="GHEA Grapalat" w:hAnsi="GHEA Grapalat" w:cs="GHEA Grapalat"/>
          <w:color w:val="000000"/>
          <w:sz w:val="24"/>
          <w:szCs w:val="24"/>
          <w:lang w:val="hy-AM"/>
        </w:rPr>
        <w:t xml:space="preserve"> </w:t>
      </w:r>
      <w:r w:rsidRPr="00005EE1">
        <w:rPr>
          <w:rStyle w:val="hps"/>
          <w:rFonts w:ascii="GHEA Grapalat" w:hAnsi="GHEA Grapalat" w:cs="GHEA Grapalat"/>
          <w:color w:val="000000"/>
          <w:sz w:val="24"/>
          <w:szCs w:val="24"/>
          <w:lang w:val="hy-AM"/>
        </w:rPr>
        <w:t>դրանից</w:t>
      </w:r>
      <w:r w:rsidRPr="00005EE1">
        <w:rPr>
          <w:rFonts w:ascii="GHEA Grapalat" w:hAnsi="GHEA Grapalat" w:cs="GHEA Grapalat"/>
          <w:color w:val="000000"/>
          <w:sz w:val="24"/>
          <w:szCs w:val="24"/>
          <w:lang w:val="hy-AM"/>
        </w:rPr>
        <w:t xml:space="preserve"> </w:t>
      </w:r>
      <w:r w:rsidRPr="00005EE1">
        <w:rPr>
          <w:rStyle w:val="hps"/>
          <w:rFonts w:ascii="GHEA Grapalat" w:hAnsi="GHEA Grapalat" w:cs="GHEA Grapalat"/>
          <w:color w:val="000000"/>
          <w:sz w:val="24"/>
          <w:szCs w:val="24"/>
          <w:lang w:val="hy-AM"/>
        </w:rPr>
        <w:t>հետեւյալ դեպքերում</w:t>
      </w:r>
      <w:r w:rsidRPr="00005EE1">
        <w:rPr>
          <w:rFonts w:ascii="GHEA Grapalat" w:hAnsi="GHEA Grapalat" w:cs="GHEA Grapalat"/>
          <w:color w:val="000000"/>
          <w:sz w:val="24"/>
          <w:szCs w:val="24"/>
          <w:lang w:val="hy-AM"/>
        </w:rPr>
        <w:t>`</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 xml:space="preserve">երկիրը հասել է եկամտի այն մակարդակին, որը </w:t>
      </w:r>
      <w:r w:rsidRPr="00005EE1">
        <w:rPr>
          <w:rStyle w:val="hps"/>
          <w:rFonts w:ascii="GHEA Grapalat" w:hAnsi="GHEA Grapalat" w:cs="GHEA Grapalat"/>
          <w:color w:val="000000"/>
          <w:sz w:val="24"/>
          <w:szCs w:val="24"/>
          <w:lang w:val="hy-AM"/>
        </w:rPr>
        <w:t>Համաշխարհային</w:t>
      </w:r>
      <w:r w:rsidRPr="00005EE1">
        <w:rPr>
          <w:rFonts w:ascii="GHEA Grapalat" w:hAnsi="GHEA Grapalat" w:cs="GHEA Grapalat"/>
          <w:color w:val="000000"/>
          <w:sz w:val="24"/>
          <w:szCs w:val="24"/>
          <w:lang w:val="hy-AM"/>
        </w:rPr>
        <w:t xml:space="preserve"> </w:t>
      </w:r>
      <w:r w:rsidRPr="00005EE1">
        <w:rPr>
          <w:rStyle w:val="hps"/>
          <w:rFonts w:ascii="GHEA Grapalat" w:hAnsi="GHEA Grapalat" w:cs="GHEA Grapalat"/>
          <w:color w:val="000000"/>
          <w:sz w:val="24"/>
          <w:szCs w:val="24"/>
          <w:lang w:val="hy-AM"/>
        </w:rPr>
        <w:t>բանկի կողմից սահմանվում է որպես</w:t>
      </w:r>
      <w:r w:rsidRPr="00005EE1">
        <w:rPr>
          <w:rFonts w:ascii="GHEA Grapalat" w:hAnsi="GHEA Grapalat" w:cs="GHEA Grapalat"/>
          <w:color w:val="000000"/>
          <w:sz w:val="24"/>
          <w:szCs w:val="24"/>
          <w:lang w:val="hy-AM"/>
        </w:rPr>
        <w:t xml:space="preserve"> </w:t>
      </w:r>
      <w:r w:rsidRPr="00005EE1">
        <w:rPr>
          <w:rStyle w:val="hps"/>
          <w:rFonts w:ascii="GHEA Grapalat" w:hAnsi="GHEA Grapalat" w:cs="GHEA Grapalat"/>
          <w:color w:val="000000"/>
          <w:sz w:val="24"/>
          <w:szCs w:val="24"/>
          <w:lang w:val="hy-AM"/>
        </w:rPr>
        <w:t>բարձր</w:t>
      </w:r>
      <w:r w:rsidRPr="00005EE1">
        <w:rPr>
          <w:rFonts w:ascii="GHEA Grapalat" w:hAnsi="GHEA Grapalat" w:cs="GHEA Grapalat"/>
          <w:color w:val="000000"/>
          <w:sz w:val="24"/>
          <w:szCs w:val="24"/>
          <w:lang w:val="hy-AM"/>
        </w:rPr>
        <w:t>,</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 xml:space="preserve">այդ երկրից վերջին երկու տարիների ընթացքում արտաքին տնտեսական գործունեության Միասնական ապրանքային անվանացանկի ամենամեծ արժեքային ծավալը ունեցող հինգ խմբերի ապրանքների ներկրման ծավալը </w:t>
      </w:r>
      <w:r w:rsidRPr="00005EE1">
        <w:rPr>
          <w:rStyle w:val="hps"/>
          <w:rFonts w:ascii="GHEA Grapalat" w:hAnsi="GHEA Grapalat" w:cs="GHEA Grapalat"/>
          <w:color w:val="000000"/>
          <w:sz w:val="24"/>
          <w:szCs w:val="24"/>
          <w:lang w:val="hy-AM"/>
        </w:rPr>
        <w:t>հավասար է կամ</w:t>
      </w:r>
      <w:r w:rsidRPr="00005EE1">
        <w:rPr>
          <w:rFonts w:ascii="GHEA Grapalat" w:hAnsi="GHEA Grapalat" w:cs="GHEA Grapalat"/>
          <w:color w:val="000000"/>
          <w:sz w:val="24"/>
          <w:szCs w:val="24"/>
          <w:lang w:val="hy-AM"/>
        </w:rPr>
        <w:t xml:space="preserve"> </w:t>
      </w:r>
      <w:r w:rsidRPr="00005EE1">
        <w:rPr>
          <w:rStyle w:val="hps"/>
          <w:rFonts w:ascii="GHEA Grapalat" w:hAnsi="GHEA Grapalat" w:cs="GHEA Grapalat"/>
          <w:color w:val="000000"/>
          <w:sz w:val="24"/>
          <w:szCs w:val="24"/>
          <w:lang w:val="hy-AM"/>
        </w:rPr>
        <w:t xml:space="preserve">գերազանցում է արտոնությունների համակարգից օգտվող երկրներից այդ ապրանքների ներմուծման ընդհանուր ծավալի </w:t>
      </w:r>
      <w:r w:rsidRPr="00005EE1">
        <w:rPr>
          <w:rFonts w:ascii="GHEA Grapalat" w:hAnsi="GHEA Grapalat" w:cs="GHEA Grapalat"/>
          <w:color w:val="000000"/>
          <w:sz w:val="24"/>
          <w:szCs w:val="24"/>
          <w:lang w:val="hy-AM"/>
        </w:rPr>
        <w:t>75 տոկոսը,</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տվյալ երկրի ոչ բարիդրացիական գործողությունների դեպքում, որոնք են Կողմ պետությունների կամ Կողմ պետությունների ֆիզիկական եւ (կամ) իրավաբանական անձանց տնտեսական շահերի բազմակի խախտումը, այդ թվում այն գործողությունները, որոնք անհիմն փակում են այդ Կողմ երկրների ֆիզիկական եւ (կամ)իրավաբանական անձանց մուտքը տվյալ երկրի շուկա կամ ցանկացած այլ կերպ անհիմն խտրականություն են դրսեւորում Կողմ երկրների ֆիզիկական եւ (կամ) իրավաբանական անձանց նկատմամբ,</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թմրանյութերի արտահանման կամ տարանցման վերահսկողության լուրջ թերությունների առկայություն,</w:t>
      </w:r>
    </w:p>
    <w:p w:rsidR="00E216AF" w:rsidRPr="00005EE1" w:rsidRDefault="00E216AF" w:rsidP="00DD7C77">
      <w:pPr>
        <w:spacing w:after="160" w:line="240" w:lineRule="auto"/>
        <w:ind w:firstLine="540"/>
        <w:jc w:val="both"/>
        <w:rPr>
          <w:rStyle w:val="hps"/>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 xml:space="preserve">փողերի լվացման դեմ պայքարի </w:t>
      </w:r>
      <w:r w:rsidRPr="00005EE1">
        <w:rPr>
          <w:rStyle w:val="hps"/>
          <w:rFonts w:ascii="GHEA Grapalat" w:hAnsi="GHEA Grapalat" w:cs="GHEA Grapalat"/>
          <w:color w:val="000000"/>
          <w:sz w:val="24"/>
          <w:szCs w:val="24"/>
          <w:lang w:val="hy-AM"/>
        </w:rPr>
        <w:t>միջազգային պայմանագրերին չհետեւելը:</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p>
    <w:p w:rsidR="00E216AF" w:rsidRPr="00005EE1" w:rsidRDefault="00E216AF" w:rsidP="00DD7C77">
      <w:pPr>
        <w:spacing w:after="160" w:line="240" w:lineRule="auto"/>
        <w:jc w:val="center"/>
        <w:rPr>
          <w:rFonts w:ascii="GHEA Grapalat" w:hAnsi="GHEA Grapalat" w:cs="GHEA Grapalat"/>
          <w:b/>
          <w:bCs/>
          <w:color w:val="000000"/>
          <w:sz w:val="24"/>
          <w:szCs w:val="24"/>
          <w:lang w:val="hy-AM"/>
        </w:rPr>
      </w:pPr>
      <w:bookmarkStart w:id="2" w:name="Par27"/>
      <w:bookmarkEnd w:id="2"/>
      <w:r w:rsidRPr="00005EE1">
        <w:rPr>
          <w:rFonts w:ascii="GHEA Grapalat" w:hAnsi="GHEA Grapalat" w:cs="GHEA Grapalat"/>
          <w:b/>
          <w:bCs/>
          <w:color w:val="000000"/>
          <w:sz w:val="24"/>
          <w:szCs w:val="24"/>
          <w:lang w:val="hy-AM"/>
        </w:rPr>
        <w:t>Հոդված 3</w:t>
      </w:r>
    </w:p>
    <w:p w:rsidR="00E216AF" w:rsidRPr="00005EE1" w:rsidRDefault="00E216AF" w:rsidP="00DD7C77">
      <w:pPr>
        <w:spacing w:after="160" w:line="240" w:lineRule="auto"/>
        <w:ind w:firstLine="708"/>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 xml:space="preserve">Սակագնային արտոնությունների համակարգից օգտվող </w:t>
      </w:r>
      <w:r w:rsidRPr="00005EE1">
        <w:rPr>
          <w:rStyle w:val="hps"/>
          <w:rFonts w:ascii="GHEA Grapalat" w:hAnsi="GHEA Grapalat" w:cs="GHEA Grapalat"/>
          <w:color w:val="000000"/>
          <w:sz w:val="24"/>
          <w:szCs w:val="24"/>
          <w:lang w:val="hy-AM"/>
        </w:rPr>
        <w:t>թույլ զարգացած ե</w:t>
      </w:r>
      <w:r w:rsidRPr="00005EE1">
        <w:rPr>
          <w:rFonts w:ascii="GHEA Grapalat" w:hAnsi="GHEA Grapalat" w:cs="GHEA Grapalat"/>
          <w:color w:val="000000"/>
          <w:sz w:val="24"/>
          <w:szCs w:val="24"/>
          <w:lang w:val="hy-AM"/>
        </w:rPr>
        <w:t>րկրների ցանկը հաստատվում է Հանձնաժողովի կողմից:</w:t>
      </w:r>
    </w:p>
    <w:p w:rsidR="00E216AF" w:rsidRPr="00005EE1" w:rsidRDefault="00E216AF" w:rsidP="00DD7C77">
      <w:pPr>
        <w:spacing w:after="160" w:line="240" w:lineRule="auto"/>
        <w:ind w:firstLine="708"/>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Սույն ցանկում ընդգրկվում են այն երկրները, որոնք ներառված են ՄԱԿ-ի թույլ զարգացած երկրների ցուցակի մեջ:</w:t>
      </w:r>
    </w:p>
    <w:p w:rsidR="00E216AF" w:rsidRPr="00005EE1" w:rsidRDefault="00E216AF" w:rsidP="00DD7C77">
      <w:pPr>
        <w:spacing w:after="160" w:line="240" w:lineRule="auto"/>
        <w:ind w:firstLine="708"/>
        <w:jc w:val="both"/>
        <w:rPr>
          <w:rFonts w:ascii="GHEA Grapalat" w:hAnsi="GHEA Grapalat" w:cs="GHEA Grapalat"/>
          <w:color w:val="000000"/>
          <w:sz w:val="24"/>
          <w:szCs w:val="24"/>
          <w:lang w:val="hy-AM"/>
        </w:rPr>
      </w:pPr>
    </w:p>
    <w:p w:rsidR="00E216AF" w:rsidRPr="00005EE1" w:rsidRDefault="00E216AF" w:rsidP="00DD7C77">
      <w:pPr>
        <w:spacing w:after="160" w:line="240" w:lineRule="auto"/>
        <w:jc w:val="center"/>
        <w:rPr>
          <w:rFonts w:ascii="GHEA Grapalat" w:hAnsi="GHEA Grapalat" w:cs="GHEA Grapalat"/>
          <w:b/>
          <w:bCs/>
          <w:color w:val="000000"/>
          <w:sz w:val="24"/>
          <w:szCs w:val="24"/>
          <w:lang w:val="hy-AM"/>
        </w:rPr>
      </w:pPr>
      <w:bookmarkStart w:id="3" w:name="Par32"/>
      <w:bookmarkEnd w:id="3"/>
      <w:r w:rsidRPr="00005EE1">
        <w:rPr>
          <w:rFonts w:ascii="GHEA Grapalat" w:hAnsi="GHEA Grapalat" w:cs="GHEA Grapalat"/>
          <w:b/>
          <w:bCs/>
          <w:color w:val="000000"/>
          <w:sz w:val="24"/>
          <w:szCs w:val="24"/>
          <w:lang w:val="hy-AM"/>
        </w:rPr>
        <w:t>Հոդված 4</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 xml:space="preserve">Զարգացող եւ թույլ զարգացած երկրներից ծագած եւ ներմուծվող այն ապրանքների ցանկը, որոնց ներմուծման ժամանակ տրամադրվում են սակագնային արտոնություններ, հաստատվում է Հանձնաժողովի կողմից: </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 xml:space="preserve">Սույն ցանկի ապրանքային դիրքերի քանակը չի կարող գերազանցել Արտաքին տնտեսական գործունեության միասնական ապրանքային անվանացանկի ենթադիրքերի ընդհանուր քանակի 20 տոկոսը: </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Անհրաժեշտության դեպքում Հանձնաժողովը հաստատում է թույլ զարգացած երկրներից ծագած եւ ներմուծվող այն ապրանքների լրացուցիչ ցանկը, որոնց ներմուծման ժամանակ տրամադրվում են սակագնային արտոնություններ:</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 xml:space="preserve">Սույն ցանկի ապրանքային դիրքերի քանակը չի կարող գերազանցել Արտաքին տնտեսական գործունեության միասնական ապրանքային անվանացանկի ենթադիրքերի ընդհանուր քանակի 5 տոկոսը: </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p>
    <w:p w:rsidR="00E216AF" w:rsidRPr="00005EE1" w:rsidRDefault="00E216AF" w:rsidP="00DD7C77">
      <w:pPr>
        <w:spacing w:after="160" w:line="240" w:lineRule="auto"/>
        <w:jc w:val="center"/>
        <w:rPr>
          <w:rFonts w:ascii="GHEA Grapalat" w:hAnsi="GHEA Grapalat" w:cs="GHEA Grapalat"/>
          <w:b/>
          <w:bCs/>
          <w:color w:val="000000"/>
          <w:sz w:val="24"/>
          <w:szCs w:val="24"/>
          <w:lang w:val="hy-AM"/>
        </w:rPr>
      </w:pPr>
      <w:bookmarkStart w:id="4" w:name="Par37"/>
      <w:bookmarkEnd w:id="4"/>
      <w:r w:rsidRPr="00005EE1">
        <w:rPr>
          <w:rFonts w:ascii="GHEA Grapalat" w:hAnsi="GHEA Grapalat" w:cs="GHEA Grapalat"/>
          <w:b/>
          <w:bCs/>
          <w:color w:val="000000"/>
          <w:sz w:val="24"/>
          <w:szCs w:val="24"/>
          <w:lang w:val="hy-AM"/>
        </w:rPr>
        <w:t>Հոդված 5</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 xml:space="preserve">Կողմերի համաձայնությամբ` սույն Արձանագրության մեջ կարող են փոփոխություններ կատարվել, որոնք </w:t>
      </w:r>
      <w:bookmarkStart w:id="5" w:name="Par41"/>
      <w:bookmarkEnd w:id="5"/>
      <w:r w:rsidRPr="00005EE1">
        <w:rPr>
          <w:rFonts w:ascii="GHEA Grapalat" w:hAnsi="GHEA Grapalat" w:cs="GHEA Grapalat"/>
          <w:color w:val="000000"/>
          <w:sz w:val="24"/>
          <w:szCs w:val="24"/>
          <w:lang w:val="hy-AM"/>
        </w:rPr>
        <w:t>ձեւակերպվում են առանձին արձանագրություններով:</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p>
    <w:p w:rsidR="00E216AF" w:rsidRPr="00005EE1" w:rsidRDefault="00E216AF" w:rsidP="00DD7C77">
      <w:pPr>
        <w:spacing w:after="160" w:line="240" w:lineRule="auto"/>
        <w:jc w:val="center"/>
        <w:rPr>
          <w:rFonts w:ascii="GHEA Grapalat" w:hAnsi="GHEA Grapalat" w:cs="GHEA Grapalat"/>
          <w:b/>
          <w:bCs/>
          <w:color w:val="000000"/>
          <w:sz w:val="24"/>
          <w:szCs w:val="24"/>
          <w:lang w:val="hy-AM"/>
        </w:rPr>
      </w:pPr>
      <w:r w:rsidRPr="00005EE1">
        <w:rPr>
          <w:rFonts w:ascii="GHEA Grapalat" w:hAnsi="GHEA Grapalat" w:cs="GHEA Grapalat"/>
          <w:b/>
          <w:bCs/>
          <w:color w:val="000000"/>
          <w:sz w:val="24"/>
          <w:szCs w:val="24"/>
          <w:lang w:val="hy-AM"/>
        </w:rPr>
        <w:t>Հոդված 6</w:t>
      </w:r>
    </w:p>
    <w:p w:rsidR="00E216AF" w:rsidRPr="00005EE1" w:rsidRDefault="00E216AF" w:rsidP="00DD7C77">
      <w:pPr>
        <w:spacing w:after="160" w:line="240" w:lineRule="auto"/>
        <w:ind w:firstLine="540"/>
        <w:jc w:val="both"/>
        <w:rPr>
          <w:rStyle w:val="hps"/>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Կողմերի միջեւ վեճերը, կապված սույն Արձանագրության մեկնաբանման եւ (կամ) կիրարկման հետ</w:t>
      </w:r>
      <w:bookmarkStart w:id="6" w:name="Par45"/>
      <w:bookmarkEnd w:id="6"/>
      <w:r w:rsidRPr="00005EE1">
        <w:rPr>
          <w:rFonts w:ascii="GHEA Grapalat" w:hAnsi="GHEA Grapalat" w:cs="GHEA Grapalat"/>
          <w:color w:val="000000"/>
          <w:sz w:val="24"/>
          <w:szCs w:val="24"/>
          <w:lang w:val="hy-AM"/>
        </w:rPr>
        <w:t xml:space="preserve">, լուծվում են շահագրգիռ կողմերի միջեւ </w:t>
      </w:r>
      <w:r w:rsidRPr="00005EE1">
        <w:rPr>
          <w:rStyle w:val="hps"/>
          <w:rFonts w:ascii="GHEA Grapalat" w:hAnsi="GHEA Grapalat" w:cs="GHEA Grapalat"/>
          <w:color w:val="000000"/>
          <w:sz w:val="24"/>
          <w:szCs w:val="24"/>
          <w:lang w:val="hy-AM"/>
        </w:rPr>
        <w:t>խորհրդակցությունների</w:t>
      </w:r>
      <w:r w:rsidRPr="00005EE1">
        <w:rPr>
          <w:rFonts w:ascii="GHEA Grapalat" w:hAnsi="GHEA Grapalat" w:cs="GHEA Grapalat"/>
          <w:color w:val="000000"/>
          <w:sz w:val="24"/>
          <w:szCs w:val="24"/>
          <w:lang w:val="hy-AM"/>
        </w:rPr>
        <w:t xml:space="preserve"> </w:t>
      </w:r>
      <w:r w:rsidRPr="00005EE1">
        <w:rPr>
          <w:rStyle w:val="hps"/>
          <w:rFonts w:ascii="GHEA Grapalat" w:hAnsi="GHEA Grapalat" w:cs="GHEA Grapalat"/>
          <w:color w:val="000000"/>
          <w:sz w:val="24"/>
          <w:szCs w:val="24"/>
          <w:lang w:val="hy-AM"/>
        </w:rPr>
        <w:t>եւ բանակցությունների միջոցով, իսկ համաձայնության չգալու դեպքում, ցանկացած շահագրգիռ Կողմի նախաձեռնությամբ վեճը փոխանցվում է Եվրասիական տնտեսական համայնքի դատարան:</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p>
    <w:p w:rsidR="00E216AF" w:rsidRPr="00005EE1" w:rsidRDefault="00E216AF" w:rsidP="00DD7C77">
      <w:pPr>
        <w:spacing w:after="160" w:line="240" w:lineRule="auto"/>
        <w:jc w:val="center"/>
        <w:rPr>
          <w:rFonts w:ascii="GHEA Grapalat" w:hAnsi="GHEA Grapalat" w:cs="GHEA Grapalat"/>
          <w:b/>
          <w:bCs/>
          <w:color w:val="000000"/>
          <w:sz w:val="24"/>
          <w:szCs w:val="24"/>
          <w:lang w:val="hy-AM"/>
        </w:rPr>
      </w:pPr>
      <w:r w:rsidRPr="00005EE1">
        <w:rPr>
          <w:rFonts w:ascii="GHEA Grapalat" w:hAnsi="GHEA Grapalat" w:cs="GHEA Grapalat"/>
          <w:b/>
          <w:bCs/>
          <w:color w:val="000000"/>
          <w:sz w:val="24"/>
          <w:szCs w:val="24"/>
          <w:lang w:val="hy-AM"/>
        </w:rPr>
        <w:t>Հոդված 7</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Սույն Արձանագրությունն ուժի մեջ մտնելու, դրան միանալու եւ դրանից դուրս գալու կարգը սահմանվում է «Մաքսային միության իրավապայմանագրային բազայի ձեւավորմանն ուղղված միջազգային պայմանագրերն ուժի մեջ մտնելու, դրանցից դուրս գալու եւ դրանց միանալու կարգի մասին» 2007 թվականի հոկտեմբերի 6–ի արձանագրությամբ։</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Կատարված է Մոսկվա քաղաքում, 2008 թվականի դեկտեմբերի 12-ին, մեկ բնօրինակով, ռուսերեն լեզվով:</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Սույն Արձանագրության բնօրինակը պահվում է ավանդապահի մոտ, որը, մինչեւ իր գործառույթների փոխանցումը Հանձնաժողովին, Եվրասիական տնտեսական համայնքի ինտեգրման կոմիտեն է:</w:t>
      </w:r>
    </w:p>
    <w:p w:rsidR="00E216AF" w:rsidRPr="00005EE1" w:rsidRDefault="00E216AF" w:rsidP="00DD7C77">
      <w:pPr>
        <w:spacing w:after="160" w:line="240" w:lineRule="auto"/>
        <w:ind w:firstLine="540"/>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Ավանադապահն ուղարկում է Կողմերից յուրաքանչյուրին սույն Արձանագրության հաստատված պատճենը:</w:t>
      </w:r>
    </w:p>
    <w:tbl>
      <w:tblPr>
        <w:tblpPr w:leftFromText="180" w:rightFromText="180" w:vertAnchor="text" w:horzAnchor="margin" w:tblpXSpec="center" w:tblpY="218"/>
        <w:tblW w:w="0" w:type="auto"/>
        <w:tblLook w:val="00A0"/>
      </w:tblPr>
      <w:tblGrid>
        <w:gridCol w:w="8529"/>
        <w:gridCol w:w="788"/>
        <w:gridCol w:w="254"/>
      </w:tblGrid>
      <w:tr w:rsidR="00E216AF" w:rsidRPr="00005EE1" w:rsidTr="00DD7C77">
        <w:tc>
          <w:tcPr>
            <w:tcW w:w="533" w:type="dxa"/>
          </w:tcPr>
          <w:tbl>
            <w:tblPr>
              <w:tblpPr w:leftFromText="180" w:rightFromText="180" w:vertAnchor="text" w:horzAnchor="margin" w:tblpY="-255"/>
              <w:tblOverlap w:val="never"/>
              <w:tblW w:w="8313" w:type="dxa"/>
              <w:tblLook w:val="01E0"/>
            </w:tblPr>
            <w:tblGrid>
              <w:gridCol w:w="2771"/>
              <w:gridCol w:w="2771"/>
              <w:gridCol w:w="2771"/>
            </w:tblGrid>
            <w:tr w:rsidR="00E216AF" w:rsidRPr="009F22D6" w:rsidTr="00DD7C77">
              <w:tc>
                <w:tcPr>
                  <w:tcW w:w="2771" w:type="dxa"/>
                  <w:tcBorders>
                    <w:top w:val="nil"/>
                    <w:left w:val="nil"/>
                    <w:bottom w:val="nil"/>
                    <w:right w:val="nil"/>
                  </w:tcBorders>
                </w:tcPr>
                <w:p w:rsidR="00E216AF" w:rsidRPr="00DD7C77" w:rsidRDefault="00E216AF" w:rsidP="00DD7C77">
                  <w:pPr>
                    <w:spacing w:after="160" w:line="240" w:lineRule="auto"/>
                    <w:rPr>
                      <w:rFonts w:ascii="Times New Roman" w:hAnsi="Times New Roman" w:cs="Times New Roman"/>
                      <w:b/>
                      <w:bCs/>
                      <w:sz w:val="24"/>
                      <w:szCs w:val="24"/>
                      <w:lang w:val="en-US"/>
                    </w:rPr>
                  </w:pPr>
                </w:p>
              </w:tc>
              <w:tc>
                <w:tcPr>
                  <w:tcW w:w="2771" w:type="dxa"/>
                  <w:tcBorders>
                    <w:top w:val="nil"/>
                    <w:left w:val="nil"/>
                    <w:bottom w:val="nil"/>
                    <w:right w:val="nil"/>
                  </w:tcBorders>
                </w:tcPr>
                <w:p w:rsidR="00E216AF" w:rsidRPr="009F22D6" w:rsidRDefault="00E216AF" w:rsidP="00DD7C77">
                  <w:pPr>
                    <w:spacing w:after="160" w:line="240" w:lineRule="auto"/>
                    <w:ind w:firstLine="567"/>
                    <w:jc w:val="center"/>
                    <w:rPr>
                      <w:rFonts w:ascii="GHEA Grapalat" w:hAnsi="GHEA Grapalat" w:cs="GHEA Grapalat"/>
                      <w:b/>
                      <w:bCs/>
                      <w:sz w:val="24"/>
                      <w:szCs w:val="24"/>
                      <w:lang w:val="hy-AM"/>
                    </w:rPr>
                  </w:pPr>
                </w:p>
              </w:tc>
              <w:tc>
                <w:tcPr>
                  <w:tcW w:w="2771" w:type="dxa"/>
                  <w:tcBorders>
                    <w:top w:val="nil"/>
                    <w:left w:val="nil"/>
                    <w:bottom w:val="nil"/>
                    <w:right w:val="nil"/>
                  </w:tcBorders>
                </w:tcPr>
                <w:p w:rsidR="00E216AF" w:rsidRPr="009F22D6" w:rsidRDefault="00E216AF" w:rsidP="00DD7C77">
                  <w:pPr>
                    <w:spacing w:after="160" w:line="240" w:lineRule="auto"/>
                    <w:ind w:firstLine="567"/>
                    <w:jc w:val="center"/>
                    <w:rPr>
                      <w:rFonts w:ascii="GHEA Grapalat" w:hAnsi="GHEA Grapalat" w:cs="GHEA Grapalat"/>
                      <w:b/>
                      <w:bCs/>
                      <w:sz w:val="24"/>
                      <w:szCs w:val="24"/>
                      <w:lang w:val="hy-AM"/>
                    </w:rPr>
                  </w:pPr>
                </w:p>
              </w:tc>
            </w:tr>
            <w:tr w:rsidR="00E216AF" w:rsidRPr="009F22D6" w:rsidTr="00DD7C77">
              <w:tc>
                <w:tcPr>
                  <w:tcW w:w="2771" w:type="dxa"/>
                  <w:tcBorders>
                    <w:top w:val="nil"/>
                    <w:left w:val="nil"/>
                    <w:bottom w:val="nil"/>
                    <w:right w:val="nil"/>
                  </w:tcBorders>
                </w:tcPr>
                <w:p w:rsidR="00E216AF" w:rsidRPr="009F22D6" w:rsidRDefault="00E216AF" w:rsidP="00DD7C77">
                  <w:pPr>
                    <w:spacing w:after="160" w:line="240" w:lineRule="auto"/>
                    <w:jc w:val="center"/>
                    <w:rPr>
                      <w:rFonts w:ascii="GHEA Grapalat" w:hAnsi="GHEA Grapalat" w:cs="GHEA Grapalat"/>
                      <w:b/>
                      <w:bCs/>
                      <w:sz w:val="24"/>
                      <w:szCs w:val="24"/>
                    </w:rPr>
                  </w:pPr>
                  <w:r w:rsidRPr="009F22D6">
                    <w:rPr>
                      <w:rFonts w:ascii="GHEA Grapalat" w:hAnsi="GHEA Grapalat" w:cs="GHEA Grapalat"/>
                      <w:b/>
                      <w:bCs/>
                      <w:sz w:val="24"/>
                      <w:szCs w:val="24"/>
                    </w:rPr>
                    <w:t>Բելառուսի Հանրապետության Կառավարության կողմից</w:t>
                  </w:r>
                </w:p>
              </w:tc>
              <w:tc>
                <w:tcPr>
                  <w:tcW w:w="2771" w:type="dxa"/>
                  <w:tcBorders>
                    <w:top w:val="nil"/>
                    <w:left w:val="nil"/>
                    <w:bottom w:val="nil"/>
                    <w:right w:val="nil"/>
                  </w:tcBorders>
                </w:tcPr>
                <w:p w:rsidR="00E216AF" w:rsidRPr="009F22D6" w:rsidRDefault="00E216AF" w:rsidP="00DD7C77">
                  <w:pPr>
                    <w:spacing w:after="160" w:line="240" w:lineRule="auto"/>
                    <w:ind w:firstLine="567"/>
                    <w:jc w:val="center"/>
                    <w:rPr>
                      <w:rFonts w:ascii="GHEA Grapalat" w:hAnsi="GHEA Grapalat" w:cs="GHEA Grapalat"/>
                      <w:b/>
                      <w:bCs/>
                      <w:sz w:val="24"/>
                      <w:szCs w:val="24"/>
                    </w:rPr>
                  </w:pPr>
                  <w:r w:rsidRPr="009F22D6">
                    <w:rPr>
                      <w:rFonts w:ascii="GHEA Grapalat" w:hAnsi="GHEA Grapalat" w:cs="GHEA Grapalat"/>
                      <w:b/>
                      <w:bCs/>
                      <w:sz w:val="24"/>
                      <w:szCs w:val="24"/>
                    </w:rPr>
                    <w:t>Ղազախստանի Հանրապետության Կառավարության կողմից</w:t>
                  </w:r>
                </w:p>
              </w:tc>
              <w:tc>
                <w:tcPr>
                  <w:tcW w:w="2771" w:type="dxa"/>
                  <w:tcBorders>
                    <w:top w:val="nil"/>
                    <w:left w:val="nil"/>
                    <w:bottom w:val="nil"/>
                    <w:right w:val="nil"/>
                  </w:tcBorders>
                </w:tcPr>
                <w:p w:rsidR="00E216AF" w:rsidRPr="009F22D6" w:rsidRDefault="00E216AF" w:rsidP="00DD7C77">
                  <w:pPr>
                    <w:spacing w:after="160" w:line="240" w:lineRule="auto"/>
                    <w:ind w:firstLine="567"/>
                    <w:jc w:val="center"/>
                    <w:rPr>
                      <w:rFonts w:ascii="GHEA Grapalat" w:hAnsi="GHEA Grapalat" w:cs="GHEA Grapalat"/>
                      <w:b/>
                      <w:bCs/>
                      <w:sz w:val="24"/>
                      <w:szCs w:val="24"/>
                    </w:rPr>
                  </w:pPr>
                  <w:r w:rsidRPr="009F22D6">
                    <w:rPr>
                      <w:rFonts w:ascii="GHEA Grapalat" w:hAnsi="GHEA Grapalat" w:cs="GHEA Grapalat"/>
                      <w:b/>
                      <w:bCs/>
                      <w:sz w:val="24"/>
                      <w:szCs w:val="24"/>
                    </w:rPr>
                    <w:t>Ռուսաստանի Դաշնության Կառավարության կողմից</w:t>
                  </w:r>
                </w:p>
              </w:tc>
            </w:tr>
            <w:tr w:rsidR="00E216AF" w:rsidRPr="009F22D6" w:rsidTr="00DD7C77">
              <w:tc>
                <w:tcPr>
                  <w:tcW w:w="2771" w:type="dxa"/>
                  <w:tcBorders>
                    <w:top w:val="nil"/>
                    <w:left w:val="nil"/>
                    <w:bottom w:val="nil"/>
                    <w:right w:val="nil"/>
                  </w:tcBorders>
                </w:tcPr>
                <w:p w:rsidR="00E216AF" w:rsidRPr="009F22D6" w:rsidRDefault="00E216AF" w:rsidP="00DD7C77">
                  <w:pPr>
                    <w:spacing w:after="160" w:line="240" w:lineRule="auto"/>
                    <w:ind w:firstLine="567"/>
                    <w:jc w:val="center"/>
                    <w:rPr>
                      <w:rFonts w:ascii="GHEA Grapalat" w:hAnsi="GHEA Grapalat" w:cs="GHEA Grapalat"/>
                      <w:sz w:val="24"/>
                      <w:szCs w:val="24"/>
                    </w:rPr>
                  </w:pPr>
                </w:p>
                <w:p w:rsidR="00E216AF" w:rsidRPr="009F22D6" w:rsidRDefault="00E216AF" w:rsidP="00DD7C77">
                  <w:pPr>
                    <w:spacing w:after="160" w:line="240" w:lineRule="auto"/>
                    <w:ind w:firstLine="567"/>
                    <w:jc w:val="center"/>
                    <w:rPr>
                      <w:rFonts w:ascii="GHEA Grapalat" w:hAnsi="GHEA Grapalat" w:cs="GHEA Grapalat"/>
                      <w:sz w:val="24"/>
                      <w:szCs w:val="24"/>
                    </w:rPr>
                  </w:pPr>
                  <w:r w:rsidRPr="009F22D6">
                    <w:rPr>
                      <w:rFonts w:ascii="GHEA Grapalat" w:hAnsi="GHEA Grapalat" w:cs="GHEA Grapalat"/>
                      <w:sz w:val="24"/>
                      <w:szCs w:val="24"/>
                    </w:rPr>
                    <w:t>(ստորագրություն)</w:t>
                  </w:r>
                </w:p>
              </w:tc>
              <w:tc>
                <w:tcPr>
                  <w:tcW w:w="2771" w:type="dxa"/>
                  <w:tcBorders>
                    <w:top w:val="nil"/>
                    <w:left w:val="nil"/>
                    <w:bottom w:val="nil"/>
                    <w:right w:val="nil"/>
                  </w:tcBorders>
                </w:tcPr>
                <w:p w:rsidR="00E216AF" w:rsidRPr="009F22D6" w:rsidRDefault="00E216AF" w:rsidP="00DD7C77">
                  <w:pPr>
                    <w:spacing w:after="160" w:line="240" w:lineRule="auto"/>
                    <w:ind w:firstLine="567"/>
                    <w:jc w:val="center"/>
                    <w:rPr>
                      <w:rFonts w:ascii="GHEA Grapalat" w:hAnsi="GHEA Grapalat" w:cs="GHEA Grapalat"/>
                      <w:sz w:val="24"/>
                      <w:szCs w:val="24"/>
                    </w:rPr>
                  </w:pPr>
                </w:p>
                <w:p w:rsidR="00E216AF" w:rsidRPr="009F22D6" w:rsidRDefault="00E216AF" w:rsidP="00DD7C77">
                  <w:pPr>
                    <w:spacing w:after="160" w:line="240" w:lineRule="auto"/>
                    <w:ind w:firstLine="567"/>
                    <w:jc w:val="center"/>
                    <w:rPr>
                      <w:rFonts w:ascii="GHEA Grapalat" w:hAnsi="GHEA Grapalat" w:cs="GHEA Grapalat"/>
                      <w:sz w:val="24"/>
                      <w:szCs w:val="24"/>
                    </w:rPr>
                  </w:pPr>
                  <w:r w:rsidRPr="009F22D6">
                    <w:rPr>
                      <w:rFonts w:ascii="GHEA Grapalat" w:hAnsi="GHEA Grapalat" w:cs="GHEA Grapalat"/>
                      <w:sz w:val="24"/>
                      <w:szCs w:val="24"/>
                    </w:rPr>
                    <w:t>(ստորագրություն)</w:t>
                  </w:r>
                </w:p>
              </w:tc>
              <w:tc>
                <w:tcPr>
                  <w:tcW w:w="2771" w:type="dxa"/>
                  <w:tcBorders>
                    <w:top w:val="nil"/>
                    <w:left w:val="nil"/>
                    <w:bottom w:val="nil"/>
                    <w:right w:val="nil"/>
                  </w:tcBorders>
                </w:tcPr>
                <w:p w:rsidR="00E216AF" w:rsidRPr="009F22D6" w:rsidRDefault="00E216AF" w:rsidP="00DD7C77">
                  <w:pPr>
                    <w:spacing w:after="160" w:line="240" w:lineRule="auto"/>
                    <w:ind w:firstLine="567"/>
                    <w:jc w:val="center"/>
                    <w:rPr>
                      <w:rFonts w:ascii="GHEA Grapalat" w:hAnsi="GHEA Grapalat" w:cs="GHEA Grapalat"/>
                      <w:sz w:val="24"/>
                      <w:szCs w:val="24"/>
                    </w:rPr>
                  </w:pPr>
                </w:p>
                <w:p w:rsidR="00E216AF" w:rsidRPr="009F22D6" w:rsidRDefault="00E216AF" w:rsidP="00DD7C77">
                  <w:pPr>
                    <w:spacing w:after="160" w:line="240" w:lineRule="auto"/>
                    <w:ind w:firstLine="567"/>
                    <w:jc w:val="center"/>
                    <w:rPr>
                      <w:rFonts w:ascii="GHEA Grapalat" w:hAnsi="GHEA Grapalat" w:cs="GHEA Grapalat"/>
                      <w:sz w:val="24"/>
                      <w:szCs w:val="24"/>
                    </w:rPr>
                  </w:pPr>
                  <w:r w:rsidRPr="009F22D6">
                    <w:rPr>
                      <w:rFonts w:ascii="GHEA Grapalat" w:hAnsi="GHEA Grapalat" w:cs="GHEA Grapalat"/>
                      <w:sz w:val="24"/>
                      <w:szCs w:val="24"/>
                    </w:rPr>
                    <w:t>(ստորագրություն)</w:t>
                  </w:r>
                </w:p>
              </w:tc>
            </w:tr>
          </w:tbl>
          <w:p w:rsidR="00E216AF" w:rsidRPr="009F22D6" w:rsidRDefault="00E216AF" w:rsidP="00DD7C77">
            <w:pPr>
              <w:spacing w:after="160"/>
              <w:jc w:val="both"/>
              <w:rPr>
                <w:rFonts w:ascii="GHEA Grapalat" w:hAnsi="GHEA Grapalat" w:cs="GHEA Grapalat"/>
                <w:color w:val="000000"/>
                <w:lang w:val="hy-AM"/>
              </w:rPr>
            </w:pPr>
          </w:p>
        </w:tc>
        <w:tc>
          <w:tcPr>
            <w:tcW w:w="8529" w:type="dxa"/>
          </w:tcPr>
          <w:p w:rsidR="00E216AF" w:rsidRDefault="00E216AF" w:rsidP="00DD7C77"/>
        </w:tc>
        <w:tc>
          <w:tcPr>
            <w:tcW w:w="509" w:type="dxa"/>
          </w:tcPr>
          <w:p w:rsidR="00E216AF" w:rsidRDefault="00E216AF" w:rsidP="00DD7C77"/>
        </w:tc>
      </w:tr>
    </w:tbl>
    <w:p w:rsidR="00E216AF" w:rsidRPr="00005EE1" w:rsidRDefault="00E216AF" w:rsidP="00DD7C77">
      <w:pPr>
        <w:spacing w:after="160" w:line="240" w:lineRule="auto"/>
        <w:jc w:val="both"/>
        <w:rPr>
          <w:rFonts w:ascii="GHEA Grapalat" w:hAnsi="GHEA Grapalat" w:cs="GHEA Grapalat"/>
          <w:color w:val="000000"/>
          <w:sz w:val="24"/>
          <w:szCs w:val="24"/>
          <w:lang w:val="hy-AM"/>
        </w:rPr>
      </w:pPr>
      <w:r w:rsidRPr="00005EE1">
        <w:rPr>
          <w:rFonts w:ascii="GHEA Grapalat" w:hAnsi="GHEA Grapalat" w:cs="GHEA Grapalat"/>
          <w:color w:val="000000"/>
          <w:sz w:val="24"/>
          <w:szCs w:val="24"/>
          <w:lang w:val="hy-AM"/>
        </w:rPr>
        <w:t xml:space="preserve"> </w:t>
      </w:r>
    </w:p>
    <w:p w:rsidR="00E216AF" w:rsidRPr="00005EE1" w:rsidRDefault="00E216AF" w:rsidP="00DD7C77">
      <w:pPr>
        <w:spacing w:line="240" w:lineRule="auto"/>
        <w:rPr>
          <w:rFonts w:ascii="GHEA Grapalat" w:hAnsi="GHEA Grapalat" w:cs="GHEA Grapalat"/>
          <w:color w:val="000000"/>
          <w:sz w:val="24"/>
          <w:szCs w:val="24"/>
          <w:lang w:val="hy-AM"/>
        </w:rPr>
      </w:pPr>
    </w:p>
    <w:sectPr w:rsidR="00E216AF" w:rsidRPr="00005EE1" w:rsidSect="00F3033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4B2E"/>
    <w:rsid w:val="000022EE"/>
    <w:rsid w:val="00005EE1"/>
    <w:rsid w:val="000367C2"/>
    <w:rsid w:val="00062DC3"/>
    <w:rsid w:val="000904F3"/>
    <w:rsid w:val="000F2210"/>
    <w:rsid w:val="0010217C"/>
    <w:rsid w:val="00107756"/>
    <w:rsid w:val="0015390C"/>
    <w:rsid w:val="00186B80"/>
    <w:rsid w:val="001E7762"/>
    <w:rsid w:val="00305BE3"/>
    <w:rsid w:val="0034449B"/>
    <w:rsid w:val="00393662"/>
    <w:rsid w:val="003B4CF5"/>
    <w:rsid w:val="003D2D7A"/>
    <w:rsid w:val="00416A11"/>
    <w:rsid w:val="00430318"/>
    <w:rsid w:val="00455FBE"/>
    <w:rsid w:val="004655AD"/>
    <w:rsid w:val="00481157"/>
    <w:rsid w:val="005374FB"/>
    <w:rsid w:val="00560934"/>
    <w:rsid w:val="00570F25"/>
    <w:rsid w:val="005938D9"/>
    <w:rsid w:val="005D413D"/>
    <w:rsid w:val="00655894"/>
    <w:rsid w:val="006569D7"/>
    <w:rsid w:val="0066727A"/>
    <w:rsid w:val="006768D0"/>
    <w:rsid w:val="006E4E9A"/>
    <w:rsid w:val="00724148"/>
    <w:rsid w:val="007311D9"/>
    <w:rsid w:val="0073695C"/>
    <w:rsid w:val="00760821"/>
    <w:rsid w:val="00772240"/>
    <w:rsid w:val="0080262D"/>
    <w:rsid w:val="0087780B"/>
    <w:rsid w:val="008D411E"/>
    <w:rsid w:val="00917AD3"/>
    <w:rsid w:val="00921C26"/>
    <w:rsid w:val="00922F96"/>
    <w:rsid w:val="009B65D6"/>
    <w:rsid w:val="009F22D6"/>
    <w:rsid w:val="009F71C5"/>
    <w:rsid w:val="00A16E48"/>
    <w:rsid w:val="00A31DB8"/>
    <w:rsid w:val="00A74B2E"/>
    <w:rsid w:val="00B02281"/>
    <w:rsid w:val="00B02953"/>
    <w:rsid w:val="00B16925"/>
    <w:rsid w:val="00B534DE"/>
    <w:rsid w:val="00B60114"/>
    <w:rsid w:val="00B72A64"/>
    <w:rsid w:val="00B97336"/>
    <w:rsid w:val="00BA166E"/>
    <w:rsid w:val="00BA7F13"/>
    <w:rsid w:val="00BC7617"/>
    <w:rsid w:val="00C050A0"/>
    <w:rsid w:val="00C06DB9"/>
    <w:rsid w:val="00C0794E"/>
    <w:rsid w:val="00C42D45"/>
    <w:rsid w:val="00C4798C"/>
    <w:rsid w:val="00C53C0D"/>
    <w:rsid w:val="00DA2380"/>
    <w:rsid w:val="00DB4558"/>
    <w:rsid w:val="00DD7C77"/>
    <w:rsid w:val="00DE0788"/>
    <w:rsid w:val="00E216AF"/>
    <w:rsid w:val="00E767FC"/>
    <w:rsid w:val="00EC41BF"/>
    <w:rsid w:val="00F0749D"/>
    <w:rsid w:val="00F3033B"/>
    <w:rsid w:val="00F32927"/>
    <w:rsid w:val="00F37352"/>
    <w:rsid w:val="00F62F53"/>
    <w:rsid w:val="00FB0923"/>
    <w:rsid w:val="00FE2C73"/>
    <w:rsid w:val="00FF2AA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DC3"/>
    <w:pPr>
      <w:spacing w:after="200" w:line="276" w:lineRule="auto"/>
    </w:pPr>
    <w:rPr>
      <w:rFonts w:cs="Calibri"/>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Cell">
    <w:name w:val="ConsPlusCell"/>
    <w:uiPriority w:val="99"/>
    <w:rsid w:val="00A74B2E"/>
    <w:pPr>
      <w:widowControl w:val="0"/>
      <w:autoSpaceDE w:val="0"/>
      <w:autoSpaceDN w:val="0"/>
      <w:adjustRightInd w:val="0"/>
    </w:pPr>
    <w:rPr>
      <w:rFonts w:eastAsia="Times New Roman" w:cs="Calibri"/>
      <w:lang w:val="ru-RU" w:eastAsia="ru-RU"/>
    </w:rPr>
  </w:style>
  <w:style w:type="character" w:styleId="Hyperlink">
    <w:name w:val="Hyperlink"/>
    <w:basedOn w:val="DefaultParagraphFont"/>
    <w:uiPriority w:val="99"/>
    <w:rsid w:val="00481157"/>
    <w:rPr>
      <w:color w:val="0000FF"/>
      <w:u w:val="single"/>
    </w:rPr>
  </w:style>
  <w:style w:type="character" w:customStyle="1" w:styleId="hps">
    <w:name w:val="hps"/>
    <w:basedOn w:val="DefaultParagraphFont"/>
    <w:uiPriority w:val="99"/>
    <w:rsid w:val="00655894"/>
  </w:style>
  <w:style w:type="character" w:customStyle="1" w:styleId="atn">
    <w:name w:val="atn"/>
    <w:basedOn w:val="DefaultParagraphFont"/>
    <w:uiPriority w:val="99"/>
    <w:rsid w:val="003D2D7A"/>
  </w:style>
  <w:style w:type="paragraph" w:styleId="BalloonText">
    <w:name w:val="Balloon Text"/>
    <w:basedOn w:val="Normal"/>
    <w:link w:val="BalloonTextChar"/>
    <w:uiPriority w:val="99"/>
    <w:semiHidden/>
    <w:rsid w:val="00B022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02281"/>
    <w:rPr>
      <w:rFonts w:ascii="Tahoma" w:hAnsi="Tahoma" w:cs="Tahoma"/>
      <w:sz w:val="16"/>
      <w:szCs w:val="16"/>
      <w:lang w:eastAsia="en-US"/>
    </w:rPr>
  </w:style>
  <w:style w:type="character" w:styleId="CommentReference">
    <w:name w:val="annotation reference"/>
    <w:basedOn w:val="DefaultParagraphFont"/>
    <w:uiPriority w:val="99"/>
    <w:semiHidden/>
    <w:rsid w:val="00B02281"/>
    <w:rPr>
      <w:sz w:val="16"/>
      <w:szCs w:val="16"/>
    </w:rPr>
  </w:style>
  <w:style w:type="paragraph" w:styleId="CommentText">
    <w:name w:val="annotation text"/>
    <w:basedOn w:val="Normal"/>
    <w:link w:val="CommentTextChar"/>
    <w:uiPriority w:val="99"/>
    <w:semiHidden/>
    <w:rsid w:val="00B0228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B02281"/>
    <w:rPr>
      <w:lang w:eastAsia="en-US"/>
    </w:rPr>
  </w:style>
  <w:style w:type="paragraph" w:styleId="CommentSubject">
    <w:name w:val="annotation subject"/>
    <w:basedOn w:val="CommentText"/>
    <w:next w:val="CommentText"/>
    <w:link w:val="CommentSubjectChar"/>
    <w:uiPriority w:val="99"/>
    <w:semiHidden/>
    <w:rsid w:val="00B02281"/>
    <w:rPr>
      <w:b/>
      <w:bCs/>
    </w:rPr>
  </w:style>
  <w:style w:type="character" w:customStyle="1" w:styleId="CommentSubjectChar">
    <w:name w:val="Comment Subject Char"/>
    <w:basedOn w:val="CommentTextChar"/>
    <w:link w:val="CommentSubject"/>
    <w:uiPriority w:val="99"/>
    <w:semiHidden/>
    <w:locked/>
    <w:rsid w:val="00B02281"/>
    <w:rPr>
      <w:b/>
      <w:bCs/>
    </w:rPr>
  </w:style>
  <w:style w:type="table" w:customStyle="1" w:styleId="TableGrid1">
    <w:name w:val="Table Grid1"/>
    <w:uiPriority w:val="99"/>
    <w:rsid w:val="0080262D"/>
    <w:rPr>
      <w:rFonts w:cs="Calibri"/>
      <w:lang w:val="hy-AM" w:eastAsia="hy-AM"/>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99"/>
    <w:rsid w:val="0080262D"/>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684</Words>
  <Characters>3900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Кулматова Умыт Жасыузаковна</dc:creator>
  <cp:keywords/>
  <dc:description/>
  <cp:lastModifiedBy>LEGAL</cp:lastModifiedBy>
  <cp:revision>4</cp:revision>
  <dcterms:created xsi:type="dcterms:W3CDTF">2014-10-23T16:38:00Z</dcterms:created>
  <dcterms:modified xsi:type="dcterms:W3CDTF">2014-10-28T05:33:00Z</dcterms:modified>
</cp:coreProperties>
</file>