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D50" w:rsidRPr="007330CD" w:rsidRDefault="005644C1" w:rsidP="007330CD">
      <w:pPr>
        <w:spacing w:after="0" w:line="240" w:lineRule="auto"/>
        <w:contextualSpacing/>
        <w:jc w:val="center"/>
        <w:rPr>
          <w:rFonts w:ascii="Sylfaen" w:hAnsi="Sylfaen"/>
          <w:b/>
          <w:lang w:val="en-US"/>
        </w:rPr>
      </w:pPr>
      <w:r w:rsidRPr="007330CD">
        <w:rPr>
          <w:rFonts w:ascii="GHEA Grapalat" w:hAnsi="GHEA Grapalat"/>
          <w:b/>
        </w:rPr>
        <w:t>ՊԱՅՄԱՆԱԳԻՐ</w:t>
      </w:r>
    </w:p>
    <w:p w:rsidR="005644C1" w:rsidRPr="007330CD" w:rsidRDefault="005644C1" w:rsidP="007330CD">
      <w:pPr>
        <w:spacing w:after="0" w:line="240" w:lineRule="auto"/>
        <w:contextualSpacing/>
        <w:jc w:val="center"/>
        <w:rPr>
          <w:rFonts w:ascii="GHEA Grapalat" w:hAnsi="GHEA Grapalat"/>
          <w:b/>
          <w:lang w:val="en-US"/>
        </w:rPr>
      </w:pPr>
      <w:r w:rsidRPr="007330CD">
        <w:rPr>
          <w:rFonts w:ascii="GHEA Grapalat" w:hAnsi="GHEA Grapalat"/>
          <w:b/>
        </w:rPr>
        <w:t>ԲԱԶՄԱԿՈՂՄ ԱՌԵՎՏՐԱՅԻՆ ՀԱՄԱԿԱՐԳԻ ՇՐՋԱՆԱԿՆԵՐՈՒՄ ՄԱՔՍԱՅԻՆ ՄԻՈՒԹՅԱՆ ԳՈՐԾՈՒՆԵՈՒԹՅԱՆ ՄԱՍԻՆ</w:t>
      </w:r>
    </w:p>
    <w:p w:rsidR="007330CD" w:rsidRPr="007330CD" w:rsidRDefault="007330CD" w:rsidP="007330CD">
      <w:pPr>
        <w:spacing w:after="0" w:line="240" w:lineRule="auto"/>
        <w:contextualSpacing/>
        <w:jc w:val="center"/>
        <w:rPr>
          <w:rFonts w:ascii="GHEA Grapalat" w:hAnsi="GHEA Grapalat"/>
          <w:b/>
          <w:lang w:val="en-US"/>
        </w:rPr>
      </w:pP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 xml:space="preserve">Բելառուսի Հանրապետությունը, Ղազախստանի Հանրապետությունը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Ռուսաստանի Դաշնությունը, (այսուհետ՝ Կողմեր),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>որպես իրենց կողմից ստեղծված Մաքսային Միության մասնակիցներ,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>հաստատելով Կողմերի ձգտումը՝ համաձայնեցված պայմաններով, հնարավորինս արագ միանալու Առ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>տրի համաշխարհային կազմակերպությանը, այսուհետ՝ ԱՀԿ,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>ընդունելով, որ Կողմերից յուրաքանչյուրի անդամությունը ԱՀԿ-ում բարենպաստ պայմաններ կստեղծի միջազգային առ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տրային համակարգում իրենց ինտեգրումը խորացնելու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ԱՀԿ-ի շրջանակներում սահմանված կանոնների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պարտավորությունների համաձայն Մաքսային միության գործունեության արդյունավետության համար,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>հաստատելով Կողմերի առ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տրային ռեժիմները միասնականացնելու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երրորդ երկրների առնչությամբ միատեսակ կիրառելու անհրաժեշտությունը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առավելությունները՝ առ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տրի զարգացման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ներդրումների ներգրավման նպատակով, 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 xml:space="preserve">հաշվի առնելով ԱՀԿ-ի համապարփակ բնույթը՝ իր մասնակիցների կազմի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միջազգային առ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>տրի կարգավորման հարցերի շրջանակի առումով,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>նկատի առնելով ԱՀԿ-ում իր անդամների նկատմամբ սահմանված բարձր պահանջները ԱՀԿ-ի ստեղծման մասին Մարաքեշյան համաձայնագրին (այսուհետ՝ ԱՀԿ համաձայնագիր) համապատասխանելու առումով, ինչպես նա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յուրաքանչյուր անդամի ստանձնած պարտավորությունները,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>ընդունելով Մաքսային միության Կողմերի առ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տրային ռեժիմների՝ ԱՀԿ համաձայնագրի համատեքստում մեկնաբանելու անհրաժեշտությունը, </w:t>
      </w:r>
    </w:p>
    <w:p w:rsidR="005644C1" w:rsidRPr="007330CD" w:rsidRDefault="005644C1" w:rsidP="007330CD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>համաձայնեցին հետ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>յալի մասին.</w:t>
      </w:r>
    </w:p>
    <w:p w:rsidR="005644C1" w:rsidRPr="007330CD" w:rsidRDefault="005644C1" w:rsidP="007330CD">
      <w:pPr>
        <w:spacing w:after="0" w:line="240" w:lineRule="auto"/>
        <w:contextualSpacing/>
        <w:jc w:val="both"/>
        <w:rPr>
          <w:rFonts w:ascii="GHEA Grapalat" w:hAnsi="GHEA Grapalat"/>
        </w:rPr>
      </w:pPr>
    </w:p>
    <w:p w:rsidR="005644C1" w:rsidRPr="007330CD" w:rsidRDefault="005644C1" w:rsidP="007330CD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0" w:name="Par17"/>
      <w:bookmarkEnd w:id="0"/>
      <w:r w:rsidRPr="007330CD">
        <w:rPr>
          <w:rFonts w:ascii="GHEA Grapalat" w:hAnsi="GHEA Grapalat"/>
          <w:b/>
        </w:rPr>
        <w:t>Հոդված 1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bookmarkStart w:id="1" w:name="Par19"/>
      <w:bookmarkEnd w:id="1"/>
      <w:r w:rsidRPr="007330CD">
        <w:rPr>
          <w:rFonts w:ascii="GHEA Grapalat" w:hAnsi="GHEA Grapalat"/>
        </w:rPr>
        <w:t xml:space="preserve">1. Կողմերից յուրաքանչյուրի կողմից ԱՀԿ-ին միանալու օրվանից ԱՀԿ համաձայնագրի դրույթները, ինչպես դրանք սահմանված են այդ Կողմի կողմից ԱՀԿ-ին միանալու մասին Արձանագրության մեջ, որը ներառում է պարտավորություններ, որոնք ծառայում են որպես պայման ԱՀԿ-ին միանալու համար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վերաբերում են այն իրավահարաբերություններին, որոնց կարգավորման լիազորությունները Մաքսային միության շրջանակներում Կողմերի կողմից պատվիրակվել են Մաքսային միության մարմիններին, ինչպես նա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այն միջազգային համաձայնագրերով կարգավորվող իրավահարաբերություններին, որոնք կազմում են Մաքսային միության իրավապայմանագրային բազան, դառնում են Մաքսային միության իրավական համակարգի բաղկացուցիչ մասը։ Ընդ որում, ԱՀԿ-ին միացող առաջին Կողմը պարտավոր է այդ մասին տեղեկացնել մյուս Կողմերին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նրանց հետ համակարգել՝ որպես իր կողմից միանալու պայման ծառայող պարտավորություններ ստանձնելու առնչությամբ իրականացվող այն գործողությունները, որոնք պահանջում են Մաքսային միության իրավական համակարգում փոփոխություններ կատարել։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 xml:space="preserve">2. Այդպիսի Կողմի կողմից ԱՀԿ-ին միանալու պահից սկսած Մաքսային միության Միասնական մաքսային սակագնի դրույքաչափերը չպետք է գերազանցեն ներմուծման սակագնի այն դրույքաչափերը, որոնք նախատեսված են ապրանքաշուկայի հասանելիության հետ կապված զիջումների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պարտավորությունների ցանկում, որը տվյալ Կողմի կողմից ԱՀԿ-ին միանալու մասին Արձանագրության հավելվածն է՝ բացառությամբ ԱՀԿ համաձայնագրով նախատեսված դեպքերի։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bookmarkStart w:id="2" w:name="Par21"/>
      <w:bookmarkEnd w:id="2"/>
      <w:r w:rsidRPr="007330CD">
        <w:rPr>
          <w:rFonts w:ascii="GHEA Grapalat" w:hAnsi="GHEA Grapalat"/>
        </w:rPr>
        <w:t xml:space="preserve">3. ԱՀԿ-ին մյուս Կողմի հետագա միացման դեպքում նրա այն պարտավորությունները, որոնք ծառայում են որպես պայման ԱՀԿ-ին միանալու համար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առնչվում են այն իրավահարաբերություններին, որոնց կարգավորման լիազորությունները Մաքսային միության </w:t>
      </w:r>
      <w:r w:rsidRPr="007330CD">
        <w:rPr>
          <w:rFonts w:ascii="GHEA Grapalat" w:hAnsi="GHEA Grapalat"/>
        </w:rPr>
        <w:lastRenderedPageBreak/>
        <w:t>շրջանակներում Կողմերի կողմից պատվիրակվել են Մաքսային միության մարմիններին, ինչպես նա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այն միջազգային համաձայնագրերով կարգավորվող իրավահարաբերություններին, որոնք կազմում են Մաքսային միության իրավապայմանագրային բազան, նույնպես դառնում են Մաքսային միության իրավական համակարգի բաղկացուցիչ մասը։ Ընդ որում, ԱՀԿ-ին միացող Կողմը պարտավոր է այդ մասին տեղեկացնել մյուս Կողմերին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նրանց հետ համակարգել որպես իր կողմից միանալու պայման ծառայող պարտավորություններ ստանձնելու առնչությամբ իրականացվող այն գործողությունները, որոնք պահանջում են փոփոխությունների կատարում Մաքսային միության իրավական համակարգում։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>4. Եթե Կողմերի ներմուծման տուրքերի դրույքաչափերի վերաբերյալ բանակցությունների համախմբված արդյունքների միջ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>, որոնք ձեռք են բերվել ԱՀԿ-ին միանալու գործընթացում, առկա են տարբերություններ, ապա Կողմերն անհապաղ խորհրդակցություններ են անցկացնում միմյանց միջ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սեղմ ժամկետներում բանակցություններ են սկսում ԱՀԿ այն անդամների հետ, որոնց շահերը շոշափվել են այդպիսի հակասություններով՝ ներմուծման տուրքերի դրույքաչափերը ներդաշնակեցնելու նպատակով։ Ընդ որում, բոլոր Կողմերը համակարգում են իրենց դիրքերը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արտահայտում են իրենց՝ ԱՀԿ համաձայնագրի համապատասխան դրույթներով ղեկավարվելու մտադրությունը, որոնք կիրառվում են մաքսային միությունների կողմից սակագների ներդաշնակեցման դեպքում։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>Մաքսային միության Միասնական մաքսային սակագնի դրույքաչափերը չեն գերազանցի այն դրույքաչափերը, որոնք համաձայնեցվել են ներդաշնակեցման արդյունքում՝ բացառությամբ ԱՀԿ համաձայնագրով նախատեսված դեպքերի։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>5. Մաքսային միության մարմինների իրավասությանը վերապահված հարցերով համակարգված բնույթի պարտավորությունների առնչությամբ բանակցությունների ժամանակ ԱՀԿ-ին նոր միացած ցանկացած Կողմ ձգտում է ձ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>ավորել պարտավորությունների այնպիսի ծավալ, որը շոշափում է այն իրավահարաբերությունները, որոնց կարգավորման վերաբերյալ լիազորությունները Կողմերը պատվիրակել են Մաքսային միության մարմիններին, ինչպես նա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այն իրավահարաբերությունները, որոնք կարգավորվում են միջազգային համաձայնագրերով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կազմում են Մաքսային միության այն իրավապայմանագրային բազան, որը առավելագույնս կհամապատասխաներ ԱՀԿ-ին առաջինն անդամակցած Կողմի պարտավորություններին։ Այդպիսի պարտավորություններից սկզբունքային շեղումները, որոնք ԱՀԿ-ին նոր միացած Կողմի բանակցությունների արդյունք են, ենթակա են Կողմերի միջ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քննարկման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համաձայնեցման։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bookmarkStart w:id="3" w:name="Par25"/>
      <w:bookmarkEnd w:id="3"/>
      <w:r w:rsidRPr="007330CD">
        <w:rPr>
          <w:rFonts w:ascii="GHEA Grapalat" w:hAnsi="GHEA Grapalat"/>
        </w:rPr>
        <w:t xml:space="preserve">6. Սույն հոդվածի առաջին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երրորդ կետերի դրույթներից անկախ՝ ԱՀԿ-ի անդամ չհանդիսացող Կողմն իրավունք ունի հրաժարվել ԱՀԿ համաձայնագրի դրույթներից, այդ թվում՝ այն պարտավորություններից, որոնք ստանձնել է ԱՀԿ-ին անդամակցած Կողմը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որոնք դարձել են Մաքսային միության իրավական համակարգի բաղկացուցիչ մասն այն հատվածով, որի շրջանակներում Մաքսային միության իրավական համակարգը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դրա մարմինների որոշումները ճշգրտման կարիք ունեն 2-րդ հոդվածին համապատասխան,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(կամ) եթե այդպիսի իրավահարաբերությունները ինքնավար կերպով կարգավորվում են Կողմի ազգային իրավական համակարգի շրջանակներում։</w:t>
      </w:r>
      <w:r w:rsidR="000B3D50" w:rsidRPr="007330CD">
        <w:rPr>
          <w:rFonts w:ascii="GHEA Grapalat" w:hAnsi="GHEA Grapalat"/>
        </w:rPr>
        <w:t xml:space="preserve"> </w:t>
      </w:r>
      <w:r w:rsidRPr="007330CD">
        <w:rPr>
          <w:rFonts w:ascii="GHEA Grapalat" w:hAnsi="GHEA Grapalat"/>
        </w:rPr>
        <w:t xml:space="preserve">Նման շեղում կատարելու հնարավորությունից օգտվող Կողմը ծանուցում է Մաքսային միության հանձնաժողովին այդպիսի շեղումների բնույթի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ծավալի մասին, իսկ Մաքսային միության հանձնաժողովը հրապարակում է այդ ծանուցումները։ Այդպիսի Կողմի կողմից ԱՀԿ-ին միանալուց հետո, ցանկացած նշված շեղում թույլատրվում է կատարել միայն այն դեպքում, եթե այն ուղղակիորեն նախատեսված է այդպիսի Կողմի՝ ԱՀԿ-ին միանալու պայմաններով։</w:t>
      </w:r>
    </w:p>
    <w:p w:rsidR="005644C1" w:rsidRPr="007330CD" w:rsidRDefault="005644C1" w:rsidP="007330CD">
      <w:pPr>
        <w:spacing w:after="0" w:line="240" w:lineRule="auto"/>
        <w:contextualSpacing/>
        <w:jc w:val="both"/>
        <w:rPr>
          <w:rFonts w:ascii="GHEA Grapalat" w:hAnsi="GHEA Grapalat"/>
        </w:rPr>
      </w:pPr>
    </w:p>
    <w:p w:rsidR="005644C1" w:rsidRPr="007330CD" w:rsidRDefault="005644C1" w:rsidP="007330CD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4" w:name="Par27"/>
      <w:bookmarkEnd w:id="4"/>
      <w:r w:rsidRPr="007330CD">
        <w:rPr>
          <w:rFonts w:ascii="GHEA Grapalat" w:hAnsi="GHEA Grapalat"/>
          <w:b/>
        </w:rPr>
        <w:t>Հոդված 2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 xml:space="preserve">1. Կողմերը պետք է միջոցներ ձեռնարկեն Մաքսային միության իրավական համակարգը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դրա մարմինների որոշումները ԱՀԿ համաձայնագրին համապատասխանեցնելու համար, ինչպես սահմանված է Կողմերից յուրաքանչյուրի՝ </w:t>
      </w:r>
      <w:r w:rsidR="000B3D50" w:rsidRPr="007330CD">
        <w:rPr>
          <w:rFonts w:ascii="GHEA Grapalat" w:hAnsi="GHEA Grapalat"/>
        </w:rPr>
        <w:t>համաձայնագրին</w:t>
      </w:r>
      <w:r w:rsidRPr="007330CD">
        <w:rPr>
          <w:rFonts w:ascii="GHEA Grapalat" w:hAnsi="GHEA Grapalat"/>
        </w:rPr>
        <w:t xml:space="preserve"> միանալու մասին </w:t>
      </w:r>
      <w:r w:rsidRPr="007330CD">
        <w:rPr>
          <w:rFonts w:ascii="GHEA Grapalat" w:hAnsi="GHEA Grapalat"/>
        </w:rPr>
        <w:lastRenderedPageBreak/>
        <w:t>Արձանագրության մեջ՝ ներառելով յուրաքանչյուր Կողմի պարտավորությունները, որոնք այն ստանձնել է որպես իր կողմից ԱՀԿ-ին միանալու պայմաններից մեկը։</w:t>
      </w:r>
      <w:r w:rsidR="000B3D50" w:rsidRPr="007330CD">
        <w:rPr>
          <w:rFonts w:ascii="GHEA Grapalat" w:hAnsi="GHEA Grapalat"/>
        </w:rPr>
        <w:t xml:space="preserve"> </w:t>
      </w:r>
      <w:r w:rsidRPr="007330CD">
        <w:rPr>
          <w:rFonts w:ascii="GHEA Grapalat" w:hAnsi="GHEA Grapalat"/>
        </w:rPr>
        <w:t xml:space="preserve">Նախքան այդ միջոցների նախատեսումը՝ ԱՀԿ-ի համաձայնագրի դրույթները՝ ներառյալ այն պարտավորությունները, որոնք ընդունվել են Կողմերի կողմից որպես ԱՀԿ-ին միանալու պայման, առաջնահերթություն ունեն Մաքսային միության շրջանակներում կնքված միջազգային պայմանագրերի համապատասխան դրույթների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դրա մարմինների կողմից ընդունված որոշումների նկատմամբ։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 xml:space="preserve">2. Կողմերի այն իրավունքներն ու պարտավորությունները, որոնք բխում են ԱՀԿ համաձայնագրից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սահմանված են Կողմերից յուրաքանչյուրի կողմից ԱՀԿ-ին միանալու մասին Արձանագրություններով, այդ թվում՝ Կողմի կողմից որպես ԱՀԿ-ին միանալու պայման ծառայող պարտավորությունները, որոնք դառնում են Մաքսային միության իրավական համակարգի բաղկացուցիչ մասը, ենթակա չեն վերացման կամ սահմանափակման՝ Մաքսային միության մարմինների, այդ թվում՝ ԵվրԱզԷՍ-ի դատարանի որոշմամբ կամ Կողմերի միջ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կնքված միջազգային պայմանագրերով։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 xml:space="preserve">3. Եթե Մաքսային միության իրավական համակարգի առանձին նորմեր ավելի ազատական են ԱՀԿ համաձայնագրի համեմատ, սակայն չեն հակասում դրան, ապա Կողմերն ապահովում են այդպիսի նորմերի կիրառումը Մաքսային միության գործունեության արդյունավետության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միջազգային առ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>տրի զարգացման նպատակներով։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 xml:space="preserve">4. Մաքսային միության շրջանակներում միջազգային պայմանագրեր կնքելիս, դրա մարմինների կողմից Մաքսային միության ակտերն ընդունելիս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կիրառելիս՝ Կողմերն ապահովում են այդպիսի պայմանագրերի </w:t>
      </w:r>
      <w:r w:rsidR="000B3D50" w:rsidRPr="007330CD">
        <w:rPr>
          <w:rFonts w:ascii="GHEA Grapalat" w:hAnsi="GHEA Grapalat"/>
        </w:rPr>
        <w:t>եւ</w:t>
      </w:r>
      <w:r w:rsidRPr="007330CD">
        <w:rPr>
          <w:rFonts w:ascii="GHEA Grapalat" w:hAnsi="GHEA Grapalat"/>
        </w:rPr>
        <w:t xml:space="preserve"> ակտերի համապատասխանությունն ԱՀԿ համաձայնագրին։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>5. Սույն հոդվածի դրույթները կիրառվում են՝ հաշվի առնելով սույն Պայմանագրի 1-ին հոդվածի 6-րդ կետով նախատեսված շեղումներ կատարելը։</w:t>
      </w:r>
    </w:p>
    <w:p w:rsidR="005644C1" w:rsidRPr="007330CD" w:rsidRDefault="005644C1" w:rsidP="007330CD">
      <w:pPr>
        <w:spacing w:after="0" w:line="240" w:lineRule="auto"/>
        <w:contextualSpacing/>
        <w:jc w:val="both"/>
        <w:rPr>
          <w:rFonts w:ascii="GHEA Grapalat" w:hAnsi="GHEA Grapalat"/>
        </w:rPr>
      </w:pPr>
    </w:p>
    <w:p w:rsidR="005644C1" w:rsidRPr="007330CD" w:rsidRDefault="005644C1" w:rsidP="007330CD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5" w:name="Par35"/>
      <w:bookmarkEnd w:id="5"/>
      <w:r w:rsidRPr="007330CD">
        <w:rPr>
          <w:rFonts w:ascii="GHEA Grapalat" w:hAnsi="GHEA Grapalat"/>
          <w:b/>
        </w:rPr>
        <w:t>Հոդված 3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>Սույն Պայմանագրի կիրառման ժամանակ կիրառվում են ԱՀԿ համաձայնագրի դրույթները, որոնցով կարգավորվում է մաքսային միությունների ստեղծումը։</w:t>
      </w:r>
    </w:p>
    <w:p w:rsidR="005644C1" w:rsidRPr="007330CD" w:rsidRDefault="005644C1" w:rsidP="007330CD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</w:p>
    <w:p w:rsidR="005644C1" w:rsidRPr="007330CD" w:rsidRDefault="005644C1" w:rsidP="007330CD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6" w:name="Par39"/>
      <w:bookmarkEnd w:id="6"/>
      <w:r w:rsidRPr="007330CD">
        <w:rPr>
          <w:rFonts w:ascii="GHEA Grapalat" w:hAnsi="GHEA Grapalat"/>
          <w:b/>
        </w:rPr>
        <w:t>Հոդված 4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>Սույն Պայմանագրից ոչ մի շեղում թույլատրելի չէ։</w:t>
      </w:r>
    </w:p>
    <w:p w:rsidR="005644C1" w:rsidRPr="007330CD" w:rsidRDefault="005644C1" w:rsidP="007330CD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</w:p>
    <w:p w:rsidR="005644C1" w:rsidRPr="007330CD" w:rsidRDefault="005644C1" w:rsidP="007330CD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7" w:name="Par43"/>
      <w:bookmarkEnd w:id="7"/>
      <w:r w:rsidRPr="007330CD">
        <w:rPr>
          <w:rFonts w:ascii="GHEA Grapalat" w:hAnsi="GHEA Grapalat"/>
          <w:b/>
        </w:rPr>
        <w:t>Հոդված 5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>Սույն Պայմանագիրը ենթակա է վավերացման։</w:t>
      </w:r>
    </w:p>
    <w:p w:rsidR="005644C1" w:rsidRPr="007330CD" w:rsidRDefault="0047603C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>Սույն Պայմանագիրն ուժի մեջ մտնելու, դրանից դուրս գալու եւ դրան միանալու կարգը սահմանվում է 2007 թվականի հոկտեմբերի 6–ի «Մաքսային միության իրավապայմանագրային բազայի ձեւավորմանն ուղղված միջազգային պայմանագրերն ուժի մեջ մտնելու, դրանցից դուրս գալու եւ դրանց միանալու կարգի մասին» արձանագրությամբ։</w:t>
      </w:r>
    </w:p>
    <w:p w:rsidR="005644C1" w:rsidRPr="007330CD" w:rsidRDefault="005644C1" w:rsidP="007330CD">
      <w:pPr>
        <w:spacing w:after="0" w:line="240" w:lineRule="auto"/>
        <w:contextualSpacing/>
        <w:jc w:val="both"/>
        <w:rPr>
          <w:rFonts w:ascii="GHEA Grapalat" w:hAnsi="GHEA Grapalat"/>
        </w:rPr>
      </w:pP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>Կատարված է Մինսկ քաղաքում, 2011 թվականի մայիսի 19–ին, մեկ բնօրինակից՝ ռուսերենով։</w:t>
      </w:r>
    </w:p>
    <w:p w:rsidR="005644C1" w:rsidRPr="007330CD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>Սույն Պայմանագրի բնօրինակը պահվում է ավանդապահի մոտ, որը Մաքսային միության հանձնաժողովն է։</w:t>
      </w:r>
    </w:p>
    <w:p w:rsidR="005644C1" w:rsidRDefault="005644C1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en-US"/>
        </w:rPr>
      </w:pPr>
      <w:r w:rsidRPr="007330CD">
        <w:rPr>
          <w:rFonts w:ascii="GHEA Grapalat" w:hAnsi="GHEA Grapalat"/>
        </w:rPr>
        <w:t>Ավանդապահը յուրաքանչյուր Կողմի ուղարկում է սույն Պայմանագրի հաստատված պատճենը։</w:t>
      </w:r>
    </w:p>
    <w:p w:rsidR="00B82453" w:rsidRDefault="00B82453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en-US"/>
        </w:rPr>
      </w:pPr>
    </w:p>
    <w:p w:rsidR="00B82453" w:rsidRDefault="00B82453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en-US"/>
        </w:rPr>
      </w:pPr>
    </w:p>
    <w:p w:rsidR="00B82453" w:rsidRDefault="00B82453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en-US"/>
        </w:rPr>
      </w:pPr>
    </w:p>
    <w:p w:rsidR="00B82453" w:rsidRPr="00B82453" w:rsidRDefault="00B82453" w:rsidP="007330CD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en-US"/>
        </w:rPr>
      </w:pPr>
    </w:p>
    <w:tbl>
      <w:tblPr>
        <w:tblW w:w="0" w:type="auto"/>
        <w:tblInd w:w="-106" w:type="dxa"/>
        <w:tblLook w:val="00A0"/>
      </w:tblPr>
      <w:tblGrid>
        <w:gridCol w:w="3190"/>
        <w:gridCol w:w="3297"/>
        <w:gridCol w:w="2835"/>
      </w:tblGrid>
      <w:tr w:rsidR="00B82453" w:rsidTr="00B82453">
        <w:tc>
          <w:tcPr>
            <w:tcW w:w="3190" w:type="dxa"/>
            <w:hideMark/>
          </w:tcPr>
          <w:p w:rsidR="00B82453" w:rsidRDefault="00B82453">
            <w:pPr>
              <w:spacing w:after="160" w:line="240" w:lineRule="auto"/>
              <w:ind w:firstLine="567"/>
              <w:jc w:val="center"/>
              <w:rPr>
                <w:rFonts w:ascii="GHEA Grapalat" w:hAnsi="GHEA Grapalat" w:cs="GHEA Grapalat"/>
                <w:b/>
                <w:bCs/>
                <w:sz w:val="24"/>
                <w:szCs w:val="24"/>
              </w:rPr>
            </w:pPr>
            <w:r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lastRenderedPageBreak/>
              <w:t>Բելառուսի Հանրապետության Կառավարության կողմից</w:t>
            </w:r>
          </w:p>
        </w:tc>
        <w:tc>
          <w:tcPr>
            <w:tcW w:w="3297" w:type="dxa"/>
            <w:hideMark/>
          </w:tcPr>
          <w:p w:rsidR="00B82453" w:rsidRDefault="00B82453">
            <w:pPr>
              <w:spacing w:after="160" w:line="240" w:lineRule="auto"/>
              <w:ind w:firstLine="567"/>
              <w:jc w:val="center"/>
              <w:rPr>
                <w:rFonts w:ascii="GHEA Grapalat" w:hAnsi="GHEA Grapalat" w:cs="GHEA Grapalat"/>
                <w:b/>
                <w:bCs/>
                <w:sz w:val="24"/>
                <w:szCs w:val="24"/>
              </w:rPr>
            </w:pPr>
            <w:r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t>Ղազախստանի Հանրապետության Կառավարության կողմից</w:t>
            </w:r>
          </w:p>
        </w:tc>
        <w:tc>
          <w:tcPr>
            <w:tcW w:w="2835" w:type="dxa"/>
            <w:hideMark/>
          </w:tcPr>
          <w:p w:rsidR="00B82453" w:rsidRDefault="00B82453">
            <w:pPr>
              <w:spacing w:after="160" w:line="240" w:lineRule="auto"/>
              <w:ind w:firstLine="567"/>
              <w:jc w:val="center"/>
              <w:rPr>
                <w:rFonts w:ascii="GHEA Grapalat" w:hAnsi="GHEA Grapalat" w:cs="GHEA Grapalat"/>
                <w:b/>
                <w:bCs/>
                <w:sz w:val="24"/>
                <w:szCs w:val="24"/>
              </w:rPr>
            </w:pPr>
            <w:r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t>Ռուսաստանի</w:t>
            </w:r>
            <w:r>
              <w:rPr>
                <w:rFonts w:ascii="GHEA Grapalat" w:hAnsi="GHEA Grapalat" w:cs="GHEA Grapalat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t>Դաշնության</w:t>
            </w:r>
            <w:r>
              <w:rPr>
                <w:rFonts w:ascii="GHEA Grapalat" w:hAnsi="GHEA Grapalat" w:cs="GHEA Grapalat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t>Կառավարության կողմից</w:t>
            </w:r>
          </w:p>
        </w:tc>
      </w:tr>
      <w:tr w:rsidR="00B82453" w:rsidTr="00B82453">
        <w:tc>
          <w:tcPr>
            <w:tcW w:w="3190" w:type="dxa"/>
          </w:tcPr>
          <w:p w:rsidR="00B82453" w:rsidRDefault="00B82453">
            <w:pPr>
              <w:spacing w:after="160" w:line="240" w:lineRule="auto"/>
              <w:ind w:firstLine="567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  <w:p w:rsidR="00B82453" w:rsidRDefault="00B82453">
            <w:pPr>
              <w:spacing w:after="160" w:line="240" w:lineRule="auto"/>
              <w:ind w:firstLine="567"/>
              <w:jc w:val="center"/>
              <w:rPr>
                <w:rFonts w:ascii="GHEA Grapalat" w:hAnsi="GHEA Grapalat" w:cs="GHEA Grapalat"/>
                <w:sz w:val="24"/>
                <w:szCs w:val="24"/>
              </w:rPr>
            </w:pPr>
            <w:r>
              <w:rPr>
                <w:rFonts w:ascii="GHEA Grapalat" w:hAnsi="GHEA Grapalat" w:cs="GHEA Grapalat"/>
                <w:sz w:val="24"/>
                <w:szCs w:val="24"/>
              </w:rPr>
              <w:t>(ստորագրություն)</w:t>
            </w:r>
          </w:p>
        </w:tc>
        <w:tc>
          <w:tcPr>
            <w:tcW w:w="3297" w:type="dxa"/>
          </w:tcPr>
          <w:p w:rsidR="00B82453" w:rsidRDefault="00B82453">
            <w:pPr>
              <w:spacing w:after="160" w:line="240" w:lineRule="auto"/>
              <w:ind w:firstLine="567"/>
              <w:jc w:val="center"/>
              <w:rPr>
                <w:rFonts w:ascii="GHEA Grapalat" w:hAnsi="GHEA Grapalat" w:cs="GHEA Grapalat"/>
                <w:sz w:val="24"/>
                <w:szCs w:val="24"/>
              </w:rPr>
            </w:pPr>
          </w:p>
          <w:p w:rsidR="00B82453" w:rsidRDefault="00B82453">
            <w:pPr>
              <w:spacing w:after="160" w:line="240" w:lineRule="auto"/>
              <w:ind w:firstLine="567"/>
              <w:jc w:val="center"/>
              <w:rPr>
                <w:rFonts w:ascii="GHEA Grapalat" w:hAnsi="GHEA Grapalat" w:cs="GHEA Grapalat"/>
                <w:sz w:val="24"/>
                <w:szCs w:val="24"/>
              </w:rPr>
            </w:pPr>
            <w:r>
              <w:rPr>
                <w:rFonts w:ascii="GHEA Grapalat" w:hAnsi="GHEA Grapalat" w:cs="GHEA Grapalat"/>
                <w:sz w:val="24"/>
                <w:szCs w:val="24"/>
              </w:rPr>
              <w:t>(ստորագրություն)</w:t>
            </w:r>
          </w:p>
        </w:tc>
        <w:tc>
          <w:tcPr>
            <w:tcW w:w="2835" w:type="dxa"/>
          </w:tcPr>
          <w:p w:rsidR="00B82453" w:rsidRDefault="00B82453">
            <w:pPr>
              <w:spacing w:after="160" w:line="240" w:lineRule="auto"/>
              <w:ind w:firstLine="567"/>
              <w:jc w:val="center"/>
              <w:rPr>
                <w:rFonts w:ascii="GHEA Grapalat" w:hAnsi="GHEA Grapalat" w:cs="GHEA Grapalat"/>
                <w:sz w:val="24"/>
                <w:szCs w:val="24"/>
              </w:rPr>
            </w:pPr>
          </w:p>
          <w:p w:rsidR="00B82453" w:rsidRDefault="00B82453">
            <w:pPr>
              <w:spacing w:after="160" w:line="240" w:lineRule="auto"/>
              <w:ind w:firstLine="567"/>
              <w:jc w:val="center"/>
              <w:rPr>
                <w:rFonts w:ascii="GHEA Grapalat" w:hAnsi="GHEA Grapalat" w:cs="GHEA Grapalat"/>
                <w:sz w:val="24"/>
                <w:szCs w:val="24"/>
              </w:rPr>
            </w:pPr>
            <w:r>
              <w:rPr>
                <w:rFonts w:ascii="GHEA Grapalat" w:hAnsi="GHEA Grapalat" w:cs="GHEA Grapalat"/>
                <w:sz w:val="24"/>
                <w:szCs w:val="24"/>
              </w:rPr>
              <w:t>(ստորագրություն)</w:t>
            </w:r>
          </w:p>
        </w:tc>
      </w:tr>
    </w:tbl>
    <w:p w:rsidR="005644C1" w:rsidRPr="007330CD" w:rsidRDefault="005644C1" w:rsidP="007330CD">
      <w:pPr>
        <w:spacing w:after="0" w:line="240" w:lineRule="auto"/>
        <w:contextualSpacing/>
        <w:jc w:val="both"/>
        <w:rPr>
          <w:rFonts w:ascii="GHEA Grapalat" w:hAnsi="GHEA Grapalat"/>
        </w:rPr>
      </w:pPr>
    </w:p>
    <w:p w:rsidR="005644C1" w:rsidRPr="007330CD" w:rsidRDefault="005644C1" w:rsidP="007330CD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7330CD">
        <w:rPr>
          <w:rFonts w:ascii="GHEA Grapalat" w:hAnsi="GHEA Grapalat"/>
        </w:rPr>
        <w:t>(ստորագրություններ)</w:t>
      </w:r>
    </w:p>
    <w:sectPr w:rsidR="005644C1" w:rsidRPr="007330CD" w:rsidSect="007330CD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3DD6"/>
    <w:rsid w:val="000B3D50"/>
    <w:rsid w:val="00145AAE"/>
    <w:rsid w:val="00222A5D"/>
    <w:rsid w:val="002D6535"/>
    <w:rsid w:val="00323F1D"/>
    <w:rsid w:val="00463DD6"/>
    <w:rsid w:val="0047603C"/>
    <w:rsid w:val="005644C1"/>
    <w:rsid w:val="0069090C"/>
    <w:rsid w:val="007330CD"/>
    <w:rsid w:val="00A4590A"/>
    <w:rsid w:val="00AF6A45"/>
    <w:rsid w:val="00B82453"/>
    <w:rsid w:val="00D656C6"/>
    <w:rsid w:val="00DE5920"/>
    <w:rsid w:val="00E70B18"/>
    <w:rsid w:val="00FA3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8CB"/>
    <w:pPr>
      <w:spacing w:after="200" w:line="276" w:lineRule="auto"/>
    </w:pPr>
    <w:rPr>
      <w:sz w:val="22"/>
      <w:szCs w:val="22"/>
      <w:lang w:val="hy-AM" w:eastAsia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2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1346</Words>
  <Characters>7676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Мирзаева Агата Сергеевна</dc:creator>
  <cp:lastModifiedBy>LEGAL</cp:lastModifiedBy>
  <cp:revision>5</cp:revision>
  <dcterms:created xsi:type="dcterms:W3CDTF">2014-10-23T17:23:00Z</dcterms:created>
  <dcterms:modified xsi:type="dcterms:W3CDTF">2014-10-28T06:12:00Z</dcterms:modified>
</cp:coreProperties>
</file>