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7A1637">
        <w:rPr>
          <w:rFonts w:ascii="GHEA Grapalat" w:hAnsi="GHEA Grapalat" w:cs="Sylfaen"/>
          <w:sz w:val="24"/>
          <w:szCs w:val="24"/>
        </w:rPr>
        <w:t>4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7C52CA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>թթ. Հայաստանի Հանրապետության պետական պարտքի վերաբերյալ (</w:t>
      </w:r>
      <w:r w:rsidR="00F13A2F">
        <w:rPr>
          <w:rFonts w:ascii="GHEA Grapalat" w:hAnsi="GHEA Grapalat" w:cs="Sylfaen"/>
          <w:sz w:val="24"/>
          <w:szCs w:val="24"/>
        </w:rPr>
        <w:t>ապրիլ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F13A2F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F13A2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91110" cy="2743200"/>
            <wp:effectExtent l="19050" t="0" r="1899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F13A2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2790" cy="2743200"/>
            <wp:effectExtent l="19050" t="0" r="1016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F13A2F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F13A2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4323" cy="2743200"/>
            <wp:effectExtent l="19050" t="0" r="27677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86D80" w:rsidRPr="00D86D8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5766" w:rsidRDefault="001E1A21" w:rsidP="001E1A21">
      <w:pPr>
        <w:ind w:left="-360" w:firstLine="36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 xml:space="preserve">                                  </w:t>
      </w:r>
    </w:p>
    <w:p w:rsidR="001E1A21" w:rsidRDefault="001E1A21" w:rsidP="001E1A21">
      <w:pPr>
        <w:ind w:left="-360" w:firstLine="36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lastRenderedPageBreak/>
        <w:t xml:space="preserve"> </w:t>
      </w:r>
      <w:r w:rsidR="00EB4522">
        <w:rPr>
          <w:rFonts w:ascii="GHEA Grapalat" w:hAnsi="GHEA Grapalat"/>
          <w:b/>
          <w:sz w:val="16"/>
          <w:szCs w:val="16"/>
        </w:rPr>
        <w:t xml:space="preserve">                                          </w:t>
      </w:r>
      <w:r w:rsidRPr="00FB6552">
        <w:rPr>
          <w:rFonts w:ascii="GHEA Grapalat" w:hAnsi="GHEA Grapalat"/>
          <w:b/>
          <w:sz w:val="16"/>
          <w:szCs w:val="16"/>
        </w:rPr>
        <w:t>2015-2017թթ. ՀՀ կառավարության պարտքի կառուցվածք</w:t>
      </w:r>
      <w:r>
        <w:rPr>
          <w:rFonts w:ascii="GHEA Grapalat" w:hAnsi="GHEA Grapalat"/>
          <w:b/>
          <w:sz w:val="16"/>
          <w:szCs w:val="16"/>
        </w:rPr>
        <w:t>ը (%)</w:t>
      </w:r>
    </w:p>
    <w:p w:rsidR="001E1A21" w:rsidRDefault="001E1A21" w:rsidP="001E1A21">
      <w:pPr>
        <w:ind w:left="-360" w:firstLine="36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CA5AE7" w:rsidRPr="00CA5AE7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2457473" cy="2262397"/>
            <wp:effectExtent l="19050" t="0" r="19027" b="4553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GHEA Grapalat" w:hAnsi="GHEA Grapalat"/>
          <w:b/>
          <w:sz w:val="16"/>
          <w:szCs w:val="16"/>
        </w:rPr>
        <w:t xml:space="preserve">   </w:t>
      </w:r>
      <w:r w:rsidR="00CA5AE7" w:rsidRPr="00CA5AE7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2310190" cy="2268748"/>
            <wp:effectExtent l="19050" t="0" r="13910" b="0"/>
            <wp:docPr id="1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GHEA Grapalat" w:hAnsi="GHEA Grapalat"/>
          <w:b/>
          <w:sz w:val="16"/>
          <w:szCs w:val="16"/>
        </w:rPr>
        <w:t xml:space="preserve">     </w:t>
      </w:r>
      <w:r w:rsidR="00CA5AE7" w:rsidRPr="00CA5AE7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016579" cy="2743200"/>
            <wp:effectExtent l="19050" t="0" r="22021" b="0"/>
            <wp:docPr id="16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1A21" w:rsidRDefault="001E1A21" w:rsidP="00E305FB">
      <w:pPr>
        <w:ind w:left="-36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ED1A35" w:rsidRPr="00ED1A35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2459379" cy="2191109"/>
            <wp:effectExtent l="19050" t="0" r="17121" b="0"/>
            <wp:docPr id="18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GHEA Grapalat" w:hAnsi="GHEA Grapalat"/>
          <w:b/>
          <w:sz w:val="16"/>
          <w:szCs w:val="16"/>
        </w:rPr>
        <w:t xml:space="preserve">  </w:t>
      </w:r>
      <w:r w:rsidR="00CA5AE7" w:rsidRPr="00CA5AE7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2348506" cy="2191109"/>
            <wp:effectExtent l="19050" t="0" r="13694" b="0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873A9">
        <w:rPr>
          <w:rFonts w:ascii="GHEA Grapalat" w:hAnsi="GHEA Grapalat"/>
          <w:b/>
          <w:sz w:val="16"/>
          <w:szCs w:val="16"/>
        </w:rPr>
        <w:t xml:space="preserve">       </w:t>
      </w:r>
      <w:r w:rsidR="00CA5AE7" w:rsidRPr="00CA5AE7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3944764" cy="2743200"/>
            <wp:effectExtent l="19050" t="0" r="17636" b="0"/>
            <wp:docPr id="2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1E1A21" w:rsidSect="00DC348E">
      <w:pgSz w:w="15840" w:h="12240" w:orient="landscape"/>
      <w:pgMar w:top="810" w:right="270" w:bottom="63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9D" w:rsidRDefault="00356A9D" w:rsidP="00AC2D9E">
      <w:pPr>
        <w:spacing w:after="0" w:line="240" w:lineRule="auto"/>
      </w:pPr>
      <w:r>
        <w:separator/>
      </w:r>
    </w:p>
  </w:endnote>
  <w:endnote w:type="continuationSeparator" w:id="1">
    <w:p w:rsidR="00356A9D" w:rsidRDefault="00356A9D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9D" w:rsidRDefault="00356A9D" w:rsidP="00AC2D9E">
      <w:pPr>
        <w:spacing w:after="0" w:line="240" w:lineRule="auto"/>
      </w:pPr>
      <w:r>
        <w:separator/>
      </w:r>
    </w:p>
  </w:footnote>
  <w:footnote w:type="continuationSeparator" w:id="1">
    <w:p w:rsidR="00356A9D" w:rsidRDefault="00356A9D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51169"/>
    <w:rsid w:val="00056F88"/>
    <w:rsid w:val="000675D6"/>
    <w:rsid w:val="00071D1B"/>
    <w:rsid w:val="000C120D"/>
    <w:rsid w:val="001708FC"/>
    <w:rsid w:val="0019787B"/>
    <w:rsid w:val="001E1A21"/>
    <w:rsid w:val="001E20E6"/>
    <w:rsid w:val="00262AB4"/>
    <w:rsid w:val="00270CA5"/>
    <w:rsid w:val="00274F9A"/>
    <w:rsid w:val="002A07FA"/>
    <w:rsid w:val="002A0970"/>
    <w:rsid w:val="002A3D43"/>
    <w:rsid w:val="002E2575"/>
    <w:rsid w:val="002F2A59"/>
    <w:rsid w:val="00304E24"/>
    <w:rsid w:val="00314083"/>
    <w:rsid w:val="00316E05"/>
    <w:rsid w:val="00356A9D"/>
    <w:rsid w:val="003670A8"/>
    <w:rsid w:val="003965AE"/>
    <w:rsid w:val="003D5370"/>
    <w:rsid w:val="004335CB"/>
    <w:rsid w:val="00440FAF"/>
    <w:rsid w:val="00455B1D"/>
    <w:rsid w:val="00461DE6"/>
    <w:rsid w:val="00472BF5"/>
    <w:rsid w:val="00495AFC"/>
    <w:rsid w:val="004B3A6B"/>
    <w:rsid w:val="004E7F0D"/>
    <w:rsid w:val="00513FFD"/>
    <w:rsid w:val="0052482E"/>
    <w:rsid w:val="005403D8"/>
    <w:rsid w:val="00546C4B"/>
    <w:rsid w:val="005646F8"/>
    <w:rsid w:val="0056730A"/>
    <w:rsid w:val="005A4CB8"/>
    <w:rsid w:val="005B1A4E"/>
    <w:rsid w:val="005C63AF"/>
    <w:rsid w:val="005E72C4"/>
    <w:rsid w:val="00605A49"/>
    <w:rsid w:val="006204FF"/>
    <w:rsid w:val="00672C70"/>
    <w:rsid w:val="00697E19"/>
    <w:rsid w:val="006A61EA"/>
    <w:rsid w:val="00753EBA"/>
    <w:rsid w:val="00795E20"/>
    <w:rsid w:val="007A1637"/>
    <w:rsid w:val="007A7000"/>
    <w:rsid w:val="007B0C3C"/>
    <w:rsid w:val="007B5262"/>
    <w:rsid w:val="007C52CA"/>
    <w:rsid w:val="007D095A"/>
    <w:rsid w:val="007D6D40"/>
    <w:rsid w:val="0081180D"/>
    <w:rsid w:val="00811EF3"/>
    <w:rsid w:val="00841547"/>
    <w:rsid w:val="00867138"/>
    <w:rsid w:val="008873A9"/>
    <w:rsid w:val="008A5AC2"/>
    <w:rsid w:val="008C2FD5"/>
    <w:rsid w:val="008C5278"/>
    <w:rsid w:val="008D75B0"/>
    <w:rsid w:val="008D7BF1"/>
    <w:rsid w:val="00905766"/>
    <w:rsid w:val="00923985"/>
    <w:rsid w:val="00933D79"/>
    <w:rsid w:val="009341DC"/>
    <w:rsid w:val="00934D90"/>
    <w:rsid w:val="00A124D7"/>
    <w:rsid w:val="00A15EBC"/>
    <w:rsid w:val="00A36CD4"/>
    <w:rsid w:val="00A71643"/>
    <w:rsid w:val="00A80F60"/>
    <w:rsid w:val="00AC2D9E"/>
    <w:rsid w:val="00B00B2A"/>
    <w:rsid w:val="00B3731F"/>
    <w:rsid w:val="00B55DF2"/>
    <w:rsid w:val="00C017E6"/>
    <w:rsid w:val="00C53C1D"/>
    <w:rsid w:val="00CA5AE7"/>
    <w:rsid w:val="00D47547"/>
    <w:rsid w:val="00D50656"/>
    <w:rsid w:val="00D52BB4"/>
    <w:rsid w:val="00D86D80"/>
    <w:rsid w:val="00D9524C"/>
    <w:rsid w:val="00DB46EB"/>
    <w:rsid w:val="00DC348E"/>
    <w:rsid w:val="00E0173A"/>
    <w:rsid w:val="00E2636E"/>
    <w:rsid w:val="00E305FB"/>
    <w:rsid w:val="00E311F1"/>
    <w:rsid w:val="00E54FD7"/>
    <w:rsid w:val="00E572E5"/>
    <w:rsid w:val="00E611FC"/>
    <w:rsid w:val="00E7138C"/>
    <w:rsid w:val="00EA3EF3"/>
    <w:rsid w:val="00EB4522"/>
    <w:rsid w:val="00EB69F5"/>
    <w:rsid w:val="00EC11CC"/>
    <w:rsid w:val="00ED1A35"/>
    <w:rsid w:val="00EF4C8F"/>
    <w:rsid w:val="00F13A2F"/>
    <w:rsid w:val="00F26FD3"/>
    <w:rsid w:val="00F40D2C"/>
    <w:rsid w:val="00F46971"/>
    <w:rsid w:val="00F620C8"/>
    <w:rsid w:val="00F64F30"/>
    <w:rsid w:val="00F87A3E"/>
    <w:rsid w:val="00FB6552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april\BookApril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april\BookApril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april\BookApril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april\BookApril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april\BookApril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april\BookApril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april\BookApril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april\BookApril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rvar\Mart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april\BookApri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 պետական  պարտքը, ՀՀ  կառավարության  պարտքը  և  ՀՀ կենտրոնական  բանկի  արտաքին  պարտքը  2014-2017 թթ. /</a:t>
            </a:r>
            <a:r>
              <a:rPr lang="en-US"/>
              <a:t>ապրիլ</a:t>
            </a:r>
            <a:r>
              <a:rPr lang="hy-AM"/>
              <a:t> ամսվա  վերջի  դրությամբ, մլրդ  դրամ</a:t>
            </a:r>
            <a:r>
              <a:rPr lang="en-US"/>
              <a:t>/</a:t>
            </a:r>
            <a:endParaRPr lang="hy-AM"/>
          </a:p>
        </c:rich>
      </c:tx>
    </c:title>
    <c:plotArea>
      <c:layout>
        <c:manualLayout>
          <c:layoutTarget val="inner"/>
          <c:xMode val="edge"/>
          <c:yMode val="edge"/>
          <c:x val="0.14009727495093779"/>
          <c:y val="0.226632035578886"/>
          <c:w val="0.54377960885276111"/>
          <c:h val="0.64792067658209485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7.7454036169902291E-2"/>
                  <c:y val="-5.092592592592593E-2"/>
                </c:manualLayout>
              </c:layout>
              <c:showVal val="1"/>
            </c:dLbl>
            <c:dLbl>
              <c:idx val="1"/>
              <c:layout>
                <c:manualLayout>
                  <c:x val="-6.6389173859916287E-2"/>
                  <c:y val="-6.9444444444444489E-2"/>
                </c:manualLayout>
              </c:layout>
              <c:showVal val="1"/>
            </c:dLbl>
            <c:dLbl>
              <c:idx val="2"/>
              <c:layout>
                <c:manualLayout>
                  <c:x val="-6.0856742704923236E-2"/>
                  <c:y val="-4.6296296296296301E-2"/>
                </c:manualLayout>
              </c:layout>
              <c:showVal val="1"/>
            </c:dLbl>
            <c:dLbl>
              <c:idx val="3"/>
              <c:layout>
                <c:manualLayout>
                  <c:x val="-8.851889847988835E-2"/>
                  <c:y val="-5.092592592592593E-2"/>
                </c:manualLayout>
              </c:layout>
              <c:showVal val="1"/>
            </c:dLbl>
            <c:dLbl>
              <c:idx val="4"/>
              <c:layout>
                <c:manualLayout>
                  <c:x val="-5.5324311549930234E-2"/>
                  <c:y val="-4.629629629629630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30.04.2015</c:v>
                </c:pt>
                <c:pt idx="1">
                  <c:v>30.04.2015</c:v>
                </c:pt>
                <c:pt idx="2">
                  <c:v>30.04.2016</c:v>
                </c:pt>
                <c:pt idx="3">
                  <c:v>31.12.2016</c:v>
                </c:pt>
                <c:pt idx="4">
                  <c:v>30.04.2017</c:v>
                </c:pt>
              </c:strCache>
            </c:strRef>
          </c:cat>
          <c:val>
            <c:numRef>
              <c:f>Sheet1!$C$4:$G$4</c:f>
              <c:numCache>
                <c:formatCode>#,##0.0</c:formatCode>
                <c:ptCount val="5"/>
                <c:pt idx="0">
                  <c:v>1883.9</c:v>
                </c:pt>
                <c:pt idx="1">
                  <c:v>2217.4</c:v>
                </c:pt>
                <c:pt idx="2">
                  <c:v>2513.6999999999998</c:v>
                </c:pt>
                <c:pt idx="3">
                  <c:v>2875.61733119578</c:v>
                </c:pt>
                <c:pt idx="4">
                  <c:v>2926.1869370540699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3.8727018084951131E-2"/>
                  <c:y val="5.092592592592593E-2"/>
                </c:manualLayout>
              </c:layout>
              <c:showVal val="1"/>
            </c:dLbl>
            <c:dLbl>
              <c:idx val="1"/>
              <c:layout>
                <c:manualLayout>
                  <c:x val="-5.255809597243373E-2"/>
                  <c:y val="4.6296296296296328E-2"/>
                </c:manualLayout>
              </c:layout>
              <c:showVal val="1"/>
            </c:dLbl>
            <c:dLbl>
              <c:idx val="2"/>
              <c:layout>
                <c:manualLayout>
                  <c:x val="-1.1064862309986047E-2"/>
                  <c:y val="1.8518518518518528E-2"/>
                </c:manualLayout>
              </c:layout>
              <c:showVal val="1"/>
            </c:dLbl>
            <c:dLbl>
              <c:idx val="3"/>
              <c:layout>
                <c:manualLayout>
                  <c:x val="-2.2129724619972081E-2"/>
                  <c:y val="3.7037037037037056E-2"/>
                </c:manualLayout>
              </c:layout>
              <c:showVal val="1"/>
            </c:dLbl>
            <c:dLbl>
              <c:idx val="4"/>
              <c:layout>
                <c:manualLayout>
                  <c:x val="-2.4895940197468599E-2"/>
                  <c:y val="5.555555555555551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30.04.2015</c:v>
                </c:pt>
                <c:pt idx="1">
                  <c:v>30.04.2015</c:v>
                </c:pt>
                <c:pt idx="2">
                  <c:v>30.04.2016</c:v>
                </c:pt>
                <c:pt idx="3">
                  <c:v>31.12.2016</c:v>
                </c:pt>
                <c:pt idx="4">
                  <c:v>30.04.2017</c:v>
                </c:pt>
              </c:strCache>
            </c:strRef>
          </c:cat>
          <c:val>
            <c:numRef>
              <c:f>Sheet1!$C$5:$G$5</c:f>
              <c:numCache>
                <c:formatCode>#,##0.0;[Red]#,##0.0</c:formatCode>
                <c:ptCount val="5"/>
                <c:pt idx="0">
                  <c:v>1679.8</c:v>
                </c:pt>
                <c:pt idx="1">
                  <c:v>2008.1</c:v>
                </c:pt>
                <c:pt idx="2">
                  <c:v>2278.8000000000002</c:v>
                </c:pt>
                <c:pt idx="3" formatCode="#,##0.0">
                  <c:v>2631.3899476757501</c:v>
                </c:pt>
                <c:pt idx="4">
                  <c:v>2672.6484318788598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7.192160501490924E-2"/>
                  <c:y val="-3.2407407407407433E-2"/>
                </c:manualLayout>
              </c:layout>
              <c:showVal val="1"/>
            </c:dLbl>
            <c:dLbl>
              <c:idx val="1"/>
              <c:layout>
                <c:manualLayout>
                  <c:x val="-6.0856742704923236E-2"/>
                  <c:y val="-4.1666666666666671E-2"/>
                </c:manualLayout>
              </c:layout>
              <c:showVal val="1"/>
            </c:dLbl>
            <c:dLbl>
              <c:idx val="2"/>
              <c:layout>
                <c:manualLayout>
                  <c:x val="-5.255809597243373E-2"/>
                  <c:y val="-6.4814814814814867E-2"/>
                </c:manualLayout>
              </c:layout>
              <c:showVal val="1"/>
            </c:dLbl>
            <c:dLbl>
              <c:idx val="3"/>
              <c:layout>
                <c:manualLayout>
                  <c:x val="-4.9791880394937198E-2"/>
                  <c:y val="-6.4814814814814936E-2"/>
                </c:manualLayout>
              </c:layout>
              <c:showVal val="1"/>
            </c:dLbl>
            <c:dLbl>
              <c:idx val="4"/>
              <c:layout>
                <c:manualLayout>
                  <c:x val="-4.4259449239944154E-2"/>
                  <c:y val="-6.018518518518516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30.04.2015</c:v>
                </c:pt>
                <c:pt idx="1">
                  <c:v>30.04.2015</c:v>
                </c:pt>
                <c:pt idx="2">
                  <c:v>30.04.2016</c:v>
                </c:pt>
                <c:pt idx="3">
                  <c:v>31.12.2016</c:v>
                </c:pt>
                <c:pt idx="4">
                  <c:v>30.04.2017</c:v>
                </c:pt>
              </c:strCache>
            </c:strRef>
          </c:cat>
          <c:val>
            <c:numRef>
              <c:f>Sheet1!$C$6:$G$6</c:f>
              <c:numCache>
                <c:formatCode>0.0;[Red]0.0</c:formatCode>
                <c:ptCount val="5"/>
                <c:pt idx="0" formatCode="#,##0.0;[Red]#,##0.0">
                  <c:v>204.1</c:v>
                </c:pt>
                <c:pt idx="1">
                  <c:v>209.3</c:v>
                </c:pt>
                <c:pt idx="2">
                  <c:v>234.9</c:v>
                </c:pt>
                <c:pt idx="3" formatCode="0.0">
                  <c:v>244.22738352002699</c:v>
                </c:pt>
                <c:pt idx="4">
                  <c:v>253.53850517520698</c:v>
                </c:pt>
              </c:numCache>
            </c:numRef>
          </c:val>
        </c:ser>
        <c:dLbls>
          <c:showVal val="1"/>
        </c:dLbls>
        <c:marker val="1"/>
        <c:axId val="106478592"/>
        <c:axId val="106493056"/>
      </c:lineChart>
      <c:catAx>
        <c:axId val="1064785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6493056"/>
        <c:crosses val="autoZero"/>
        <c:auto val="1"/>
        <c:lblAlgn val="ctr"/>
        <c:lblOffset val="100"/>
      </c:catAx>
      <c:valAx>
        <c:axId val="10649305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6478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27811574978636"/>
          <c:y val="0.24132436570428697"/>
          <c:w val="0.30635837520773879"/>
          <c:h val="0.71110090405366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 b="1" i="0" baseline="0">
                <a:latin typeface="GHEA Grapalat" pitchFamily="50" charset="0"/>
              </a:rPr>
              <a:t>/մլն ԱՄՆ դոլար/</a:t>
            </a:r>
            <a:endParaRPr lang="en-US" sz="900">
              <a:latin typeface="GHEA Grapalat" pitchFamily="50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Sheet1!$B$196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Sheet1!$C$195:$E$195</c:f>
              <c:strCache>
                <c:ptCount val="3"/>
                <c:pt idx="0">
                  <c:v> 2015թ. հունվար-ապրիլ</c:v>
                </c:pt>
                <c:pt idx="1">
                  <c:v>01.01.2016 - 04.30.2016</c:v>
                </c:pt>
                <c:pt idx="2">
                  <c:v>01.01.2017 - 30.04.2017</c:v>
                </c:pt>
              </c:strCache>
            </c:strRef>
          </c:cat>
          <c:val>
            <c:numRef>
              <c:f>Sheet1!$C$196:$E$196</c:f>
              <c:numCache>
                <c:formatCode>General</c:formatCode>
                <c:ptCount val="3"/>
                <c:pt idx="0">
                  <c:v>35.800000000000004</c:v>
                </c:pt>
                <c:pt idx="1">
                  <c:v>34.6</c:v>
                </c:pt>
                <c:pt idx="2" formatCode="0.0">
                  <c:v>25.9</c:v>
                </c:pt>
              </c:numCache>
            </c:numRef>
          </c:val>
        </c:ser>
        <c:ser>
          <c:idx val="1"/>
          <c:order val="1"/>
          <c:tx>
            <c:strRef>
              <c:f>Sheet1!$B$197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Sheet1!$C$195:$E$195</c:f>
              <c:strCache>
                <c:ptCount val="3"/>
                <c:pt idx="0">
                  <c:v> 2015թ. հունվար-ապրիլ</c:v>
                </c:pt>
                <c:pt idx="1">
                  <c:v>01.01.2016 - 04.30.2016</c:v>
                </c:pt>
                <c:pt idx="2">
                  <c:v>01.01.2017 - 30.04.2017</c:v>
                </c:pt>
              </c:strCache>
            </c:strRef>
          </c:cat>
          <c:val>
            <c:numRef>
              <c:f>Sheet1!$C$197:$E$197</c:f>
              <c:numCache>
                <c:formatCode>0.0</c:formatCode>
                <c:ptCount val="3"/>
                <c:pt idx="0" formatCode="General">
                  <c:v>20.7</c:v>
                </c:pt>
                <c:pt idx="1">
                  <c:v>55.4</c:v>
                </c:pt>
                <c:pt idx="2">
                  <c:v>29.102006143000001</c:v>
                </c:pt>
              </c:numCache>
            </c:numRef>
          </c:val>
        </c:ser>
        <c:dLbls>
          <c:showVal val="1"/>
        </c:dLbls>
        <c:overlap val="-25"/>
        <c:axId val="117497216"/>
        <c:axId val="117576832"/>
      </c:barChart>
      <c:catAx>
        <c:axId val="1174972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17576832"/>
        <c:crosses val="autoZero"/>
        <c:auto val="1"/>
        <c:lblAlgn val="ctr"/>
        <c:lblOffset val="100"/>
      </c:catAx>
      <c:valAx>
        <c:axId val="117576832"/>
        <c:scaling>
          <c:orientation val="minMax"/>
        </c:scaling>
        <c:delete val="1"/>
        <c:axPos val="l"/>
        <c:numFmt formatCode="General" sourceLinked="1"/>
        <c:tickLblPos val="nextTo"/>
        <c:crossAx val="117497216"/>
        <c:crosses val="autoZero"/>
        <c:crossBetween val="between"/>
      </c:valAx>
    </c:plotArea>
    <c:legend>
      <c:legendPos val="t"/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 պետական  պարտքը, ՀՀ  կառավարության  պարտքը  և  ՀՀ կենտրոնական  բանկի  արտաքին  պարտքը  2014-2017 թթ. /</a:t>
            </a:r>
            <a:r>
              <a:rPr lang="en-US"/>
              <a:t>ապրիլ</a:t>
            </a:r>
            <a:r>
              <a:rPr lang="hy-AM"/>
              <a:t> ամսվա  վերջի  դրությամբ, մլն  ԱՄՆ 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4158743855648201"/>
          <c:y val="0.21737277631962668"/>
          <c:w val="0.52494876496602272"/>
          <c:h val="0.65717993584135315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6.9890970086664811E-2"/>
                  <c:y val="-6.4814814814814853E-2"/>
                </c:manualLayout>
              </c:layout>
              <c:showVal val="1"/>
            </c:dLbl>
            <c:dLbl>
              <c:idx val="1"/>
              <c:layout>
                <c:manualLayout>
                  <c:x val="-6.1504053676264998E-2"/>
                  <c:y val="-6.0185185185185154E-2"/>
                </c:manualLayout>
              </c:layout>
              <c:showVal val="1"/>
            </c:dLbl>
            <c:dLbl>
              <c:idx val="2"/>
              <c:layout>
                <c:manualLayout>
                  <c:x val="-6.9890970086664894E-2"/>
                  <c:y val="-4.6296296296296301E-2"/>
                </c:manualLayout>
              </c:layout>
              <c:showVal val="1"/>
            </c:dLbl>
            <c:dLbl>
              <c:idx val="3"/>
              <c:layout>
                <c:manualLayout>
                  <c:x val="-6.1504053676264998E-2"/>
                  <c:y val="-4.6296296296296328E-2"/>
                </c:manualLayout>
              </c:layout>
              <c:showVal val="1"/>
            </c:dLbl>
            <c:dLbl>
              <c:idx val="4"/>
              <c:layout>
                <c:manualLayout>
                  <c:x val="-5.3117137265865276E-2"/>
                  <c:y val="-5.555555555555551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30.04.2014</c:v>
                </c:pt>
                <c:pt idx="1">
                  <c:v>30.04.2015</c:v>
                </c:pt>
                <c:pt idx="2">
                  <c:v>30.04.2016</c:v>
                </c:pt>
                <c:pt idx="3">
                  <c:v>31.12.2016</c:v>
                </c:pt>
                <c:pt idx="4">
                  <c:v>30.04.2017</c:v>
                </c:pt>
              </c:strCache>
            </c:strRef>
          </c:cat>
          <c:val>
            <c:numRef>
              <c:f>Sheet1!$C$27:$G$27</c:f>
              <c:numCache>
                <c:formatCode>#,##0.0</c:formatCode>
                <c:ptCount val="5"/>
                <c:pt idx="0">
                  <c:v>4560.4000000000005</c:v>
                </c:pt>
                <c:pt idx="1">
                  <c:v>4658.9000000000005</c:v>
                </c:pt>
                <c:pt idx="2">
                  <c:v>5252.2</c:v>
                </c:pt>
                <c:pt idx="3">
                  <c:v>5942.0947456208996</c:v>
                </c:pt>
                <c:pt idx="4">
                  <c:v>6037.3585397665829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6.4299692479731677E-2"/>
                  <c:y val="4.6296296296296328E-2"/>
                </c:manualLayout>
              </c:layout>
              <c:showVal val="1"/>
            </c:dLbl>
            <c:dLbl>
              <c:idx val="1"/>
              <c:layout>
                <c:manualLayout>
                  <c:x val="-5.3117137265865276E-2"/>
                  <c:y val="4.6296296296296328E-2"/>
                </c:manualLayout>
              </c:layout>
              <c:showVal val="1"/>
            </c:dLbl>
            <c:dLbl>
              <c:idx val="2"/>
              <c:layout>
                <c:manualLayout>
                  <c:x val="-3.9138943248532343E-2"/>
                  <c:y val="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3.3547665641599111E-2"/>
                  <c:y val="5.5555555555555518E-2"/>
                </c:manualLayout>
              </c:layout>
              <c:showVal val="1"/>
            </c:dLbl>
            <c:dLbl>
              <c:idx val="4"/>
              <c:layout>
                <c:manualLayout>
                  <c:x val="-1.6773832820799552E-2"/>
                  <c:y val="1.85185185185185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30.04.2014</c:v>
                </c:pt>
                <c:pt idx="1">
                  <c:v>30.04.2015</c:v>
                </c:pt>
                <c:pt idx="2">
                  <c:v>30.04.2016</c:v>
                </c:pt>
                <c:pt idx="3">
                  <c:v>31.12.2016</c:v>
                </c:pt>
                <c:pt idx="4">
                  <c:v>30.04.2017</c:v>
                </c:pt>
              </c:strCache>
            </c:strRef>
          </c:cat>
          <c:val>
            <c:numRef>
              <c:f>Sheet1!$C$28:$G$28</c:f>
              <c:numCache>
                <c:formatCode>#,##0.0;[Red]#,##0.0</c:formatCode>
                <c:ptCount val="5"/>
                <c:pt idx="0">
                  <c:v>4066.2</c:v>
                </c:pt>
                <c:pt idx="1">
                  <c:v>4219.1000000000004</c:v>
                </c:pt>
                <c:pt idx="2">
                  <c:v>4761.3</c:v>
                </c:pt>
                <c:pt idx="3">
                  <c:v>5437.4301518282173</c:v>
                </c:pt>
                <c:pt idx="4">
                  <c:v>5514.2535938740202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6.1504053676264998E-2"/>
                  <c:y val="-6.9444444444444489E-2"/>
                </c:manualLayout>
              </c:layout>
              <c:showVal val="1"/>
            </c:dLbl>
            <c:dLbl>
              <c:idx val="1"/>
              <c:layout>
                <c:manualLayout>
                  <c:x val="-5.3117137265865276E-2"/>
                  <c:y val="-7.407407407407407E-2"/>
                </c:manualLayout>
              </c:layout>
              <c:showVal val="1"/>
            </c:dLbl>
            <c:dLbl>
              <c:idx val="2"/>
              <c:layout>
                <c:manualLayout>
                  <c:x val="-4.7525859658932086E-2"/>
                  <c:y val="-6.9444444444444531E-2"/>
                </c:manualLayout>
              </c:layout>
              <c:showVal val="1"/>
            </c:dLbl>
            <c:dLbl>
              <c:idx val="3"/>
              <c:layout>
                <c:manualLayout>
                  <c:x val="-5.5912776069331892E-2"/>
                  <c:y val="-7.407407407407407E-2"/>
                </c:manualLayout>
              </c:layout>
              <c:showVal val="1"/>
            </c:dLbl>
            <c:dLbl>
              <c:idx val="4"/>
              <c:layout>
                <c:manualLayout>
                  <c:x val="-5.3117137265865276E-2"/>
                  <c:y val="-6.481481481481485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30.04.2014</c:v>
                </c:pt>
                <c:pt idx="1">
                  <c:v>30.04.2015</c:v>
                </c:pt>
                <c:pt idx="2">
                  <c:v>30.04.2016</c:v>
                </c:pt>
                <c:pt idx="3">
                  <c:v>31.12.2016</c:v>
                </c:pt>
                <c:pt idx="4">
                  <c:v>30.04.2017</c:v>
                </c:pt>
              </c:strCache>
            </c:strRef>
          </c:cat>
          <c:val>
            <c:numRef>
              <c:f>Sheet1!$C$29:$G$29</c:f>
              <c:numCache>
                <c:formatCode>0.0</c:formatCode>
                <c:ptCount val="5"/>
                <c:pt idx="0">
                  <c:v>494.1</c:v>
                </c:pt>
                <c:pt idx="1">
                  <c:v>439.8</c:v>
                </c:pt>
                <c:pt idx="2">
                  <c:v>490.9</c:v>
                </c:pt>
                <c:pt idx="3">
                  <c:v>504.66459379267485</c:v>
                </c:pt>
                <c:pt idx="4">
                  <c:v>523.10494589256098</c:v>
                </c:pt>
              </c:numCache>
            </c:numRef>
          </c:val>
        </c:ser>
        <c:dLbls>
          <c:showVal val="1"/>
        </c:dLbls>
        <c:marker val="1"/>
        <c:axId val="117220864"/>
        <c:axId val="117222400"/>
      </c:lineChart>
      <c:catAx>
        <c:axId val="1172208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7222400"/>
        <c:crosses val="autoZero"/>
        <c:auto val="1"/>
        <c:lblAlgn val="ctr"/>
        <c:lblOffset val="100"/>
      </c:catAx>
      <c:valAx>
        <c:axId val="11722240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7220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93318423259722"/>
          <c:y val="0.22037328667249931"/>
          <c:w val="0.31389432485322916"/>
          <c:h val="0.75763305628463173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արտաքին, ներքին և ՀՀ ԿԲ արտաքին  պարտքերը 2014-2017թթ. /</a:t>
            </a:r>
            <a:r>
              <a:rPr lang="en-US"/>
              <a:t>ապրիլ ամսվա</a:t>
            </a:r>
            <a:r>
              <a:rPr lang="hy-AM"/>
              <a:t> վերջի դրությամբ, 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3998110957318091"/>
          <c:y val="0.20371536891221939"/>
          <c:w val="0.58543696081759788"/>
          <c:h val="0.67083734324876065"/>
        </c:manualLayout>
      </c:layout>
      <c:lineChart>
        <c:grouping val="standard"/>
        <c:ser>
          <c:idx val="0"/>
          <c:order val="0"/>
          <c:tx>
            <c:strRef>
              <c:f>Sheet1!$B$49</c:f>
              <c:strCache>
                <c:ptCount val="1"/>
                <c:pt idx="0">
                  <c:v>    ՀՀ կառավարության արտաքին պարտք</c:v>
                </c:pt>
              </c:strCache>
            </c:strRef>
          </c:tx>
          <c:dLbls>
            <c:dLbl>
              <c:idx val="2"/>
              <c:layout>
                <c:manualLayout>
                  <c:x val="-2.2111375170840858E-2"/>
                  <c:y val="3.7037037037037097E-2"/>
                </c:manualLayout>
              </c:layout>
              <c:showVal val="1"/>
            </c:dLbl>
            <c:dLbl>
              <c:idx val="3"/>
              <c:layout>
                <c:manualLayout>
                  <c:x val="-3.3167062756261259E-2"/>
                  <c:y val="3.7037037037037097E-2"/>
                </c:manualLayout>
              </c:layout>
              <c:showVal val="1"/>
            </c:dLbl>
            <c:dLbl>
              <c:idx val="4"/>
              <c:layout>
                <c:manualLayout>
                  <c:x val="-3.3167062756261259E-2"/>
                  <c:y val="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30.04.2014</c:v>
                </c:pt>
                <c:pt idx="1">
                  <c:v>30.04.2015</c:v>
                </c:pt>
                <c:pt idx="2">
                  <c:v>30.04.2016</c:v>
                </c:pt>
                <c:pt idx="3">
                  <c:v>31.12.2016</c:v>
                </c:pt>
                <c:pt idx="4">
                  <c:v>30.04.2017</c:v>
                </c:pt>
              </c:strCache>
            </c:strRef>
          </c:cat>
          <c:val>
            <c:numRef>
              <c:f>Sheet1!$C$49:$G$49</c:f>
              <c:numCache>
                <c:formatCode>#,##0.0;[Red]#,##0.0</c:formatCode>
                <c:ptCount val="5"/>
                <c:pt idx="0">
                  <c:v>1402</c:v>
                </c:pt>
                <c:pt idx="1">
                  <c:v>1679.6</c:v>
                </c:pt>
                <c:pt idx="2">
                  <c:v>1899.2</c:v>
                </c:pt>
                <c:pt idx="3">
                  <c:v>2081.3885861757499</c:v>
                </c:pt>
                <c:pt idx="4">
                  <c:v>2098.3004908788612</c:v>
                </c:pt>
              </c:numCache>
            </c:numRef>
          </c:val>
        </c:ser>
        <c:ser>
          <c:idx val="1"/>
          <c:order val="1"/>
          <c:tx>
            <c:strRef>
              <c:f>Sheet1!$B$50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7.4625891201587816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8.2917656890653155E-2"/>
                  <c:y val="-3.2407407407407426E-2"/>
                </c:manualLayout>
              </c:layout>
              <c:showVal val="1"/>
            </c:dLbl>
            <c:dLbl>
              <c:idx val="2"/>
              <c:layout>
                <c:manualLayout>
                  <c:x val="-5.8042359823457214E-2"/>
                  <c:y val="-4.6296296296296238E-2"/>
                </c:manualLayout>
              </c:layout>
              <c:showVal val="1"/>
            </c:dLbl>
            <c:dLbl>
              <c:idx val="3"/>
              <c:layout>
                <c:manualLayout>
                  <c:x val="-6.6334125512522518E-2"/>
                  <c:y val="-5.0925925925925923E-2"/>
                </c:manualLayout>
              </c:layout>
              <c:showVal val="1"/>
            </c:dLbl>
            <c:dLbl>
              <c:idx val="4"/>
              <c:layout>
                <c:manualLayout>
                  <c:x val="-4.9750594134391951E-2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30.04.2014</c:v>
                </c:pt>
                <c:pt idx="1">
                  <c:v>30.04.2015</c:v>
                </c:pt>
                <c:pt idx="2">
                  <c:v>30.04.2016</c:v>
                </c:pt>
                <c:pt idx="3">
                  <c:v>31.12.2016</c:v>
                </c:pt>
                <c:pt idx="4">
                  <c:v>30.04.2017</c:v>
                </c:pt>
              </c:strCache>
            </c:strRef>
          </c:cat>
          <c:val>
            <c:numRef>
              <c:f>Sheet1!$C$50:$G$50</c:f>
              <c:numCache>
                <c:formatCode>0.0</c:formatCode>
                <c:ptCount val="5"/>
                <c:pt idx="0">
                  <c:v>277.8</c:v>
                </c:pt>
                <c:pt idx="1">
                  <c:v>328.5</c:v>
                </c:pt>
                <c:pt idx="2">
                  <c:v>379.6</c:v>
                </c:pt>
                <c:pt idx="3">
                  <c:v>550.00136150000003</c:v>
                </c:pt>
                <c:pt idx="4">
                  <c:v>574.34794099999965</c:v>
                </c:pt>
              </c:numCache>
            </c:numRef>
          </c:val>
        </c:ser>
        <c:ser>
          <c:idx val="2"/>
          <c:order val="2"/>
          <c:tx>
            <c:strRef>
              <c:f>Sheet1!$B$51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2.2111375170840837E-2"/>
                  <c:y val="3.2407407407407426E-2"/>
                </c:manualLayout>
              </c:layout>
              <c:showVal val="1"/>
            </c:dLbl>
            <c:dLbl>
              <c:idx val="1"/>
              <c:layout>
                <c:manualLayout>
                  <c:x val="-4.4222750341681716E-2"/>
                  <c:y val="3.2407407407407426E-2"/>
                </c:manualLayout>
              </c:layout>
              <c:showVal val="1"/>
            </c:dLbl>
            <c:dLbl>
              <c:idx val="2"/>
              <c:layout>
                <c:manualLayout>
                  <c:x val="-5.2514516030747034E-2"/>
                  <c:y val="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5.5278437927102124E-2"/>
                  <c:y val="3.7037037037037056E-2"/>
                </c:manualLayout>
              </c:layout>
              <c:showVal val="1"/>
            </c:dLbl>
            <c:dLbl>
              <c:idx val="4"/>
              <c:layout>
                <c:manualLayout>
                  <c:x val="-5.2514516030747034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30.04.2014</c:v>
                </c:pt>
                <c:pt idx="1">
                  <c:v>30.04.2015</c:v>
                </c:pt>
                <c:pt idx="2">
                  <c:v>30.04.2016</c:v>
                </c:pt>
                <c:pt idx="3">
                  <c:v>31.12.2016</c:v>
                </c:pt>
                <c:pt idx="4">
                  <c:v>30.04.2017</c:v>
                </c:pt>
              </c:strCache>
            </c:strRef>
          </c:cat>
          <c:val>
            <c:numRef>
              <c:f>Sheet1!$C$51:$G$51</c:f>
              <c:numCache>
                <c:formatCode>0.0;[Red]0.0</c:formatCode>
                <c:ptCount val="5"/>
                <c:pt idx="0" formatCode="#,##0.0;[Red]#,##0.0">
                  <c:v>204.1</c:v>
                </c:pt>
                <c:pt idx="1">
                  <c:v>209.3</c:v>
                </c:pt>
                <c:pt idx="2">
                  <c:v>234.9</c:v>
                </c:pt>
                <c:pt idx="3" formatCode="0.0">
                  <c:v>244.22738352002699</c:v>
                </c:pt>
                <c:pt idx="4">
                  <c:v>253.53850517520698</c:v>
                </c:pt>
              </c:numCache>
            </c:numRef>
          </c:val>
        </c:ser>
        <c:dLbls>
          <c:showVal val="1"/>
        </c:dLbls>
        <c:marker val="1"/>
        <c:axId val="117261824"/>
        <c:axId val="117263360"/>
      </c:lineChart>
      <c:catAx>
        <c:axId val="1172618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7263360"/>
        <c:crosses val="autoZero"/>
        <c:auto val="1"/>
        <c:lblAlgn val="ctr"/>
        <c:lblOffset val="100"/>
      </c:catAx>
      <c:valAx>
        <c:axId val="117263360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726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541807039077977"/>
          <c:y val="0.1603036599591717"/>
          <c:w val="0.25799839823109"/>
          <c:h val="0.78078120443277954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900" b="1" i="0" baseline="0">
                <a:latin typeface="GHEA Grapalat" pitchFamily="50" charset="0"/>
              </a:rPr>
              <a:t>ՀՀ  կառավարության արտաքին, ներքին և ՀՀ ԿԲ արտաքին պարտքերը 2014-2017թթ. /</a:t>
            </a:r>
            <a:r>
              <a:rPr lang="en-US" sz="900" b="1" i="0" baseline="0">
                <a:latin typeface="GHEA Grapalat" pitchFamily="50" charset="0"/>
              </a:rPr>
              <a:t>ապրիլ</a:t>
            </a:r>
            <a:r>
              <a:rPr lang="hy-AM" sz="900" b="1" i="0" baseline="0">
                <a:latin typeface="GHEA Grapalat" pitchFamily="50" charset="0"/>
              </a:rPr>
              <a:t> ամսվա վերջի դրությամբ, մլն  ԱՄՆ դոլար/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4068285214348206"/>
          <c:y val="0.21737277631962668"/>
          <c:w val="0.58891426071740993"/>
          <c:h val="0.65680956547098313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6.9444444444444434E-2"/>
                  <c:y val="-4.6296296296296328E-2"/>
                </c:manualLayout>
              </c:layout>
              <c:showVal val="1"/>
            </c:dLbl>
            <c:dLbl>
              <c:idx val="1"/>
              <c:layout>
                <c:manualLayout>
                  <c:x val="-7.2222222222222257E-2"/>
                  <c:y val="-3.7037037037037097E-2"/>
                </c:manualLayout>
              </c:layout>
              <c:showVal val="1"/>
            </c:dLbl>
            <c:dLbl>
              <c:idx val="2"/>
              <c:layout>
                <c:manualLayout>
                  <c:x val="-8.6111111111111097E-2"/>
                  <c:y val="-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6.666666666666668E-2"/>
                  <c:y val="-4.6296296296296328E-2"/>
                </c:manualLayout>
              </c:layout>
              <c:showVal val="1"/>
            </c:dLbl>
            <c:dLbl>
              <c:idx val="4"/>
              <c:layout>
                <c:manualLayout>
                  <c:x val="-0.05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30.04.2014</c:v>
                </c:pt>
                <c:pt idx="1">
                  <c:v>30.04.2015</c:v>
                </c:pt>
                <c:pt idx="2">
                  <c:v>30.04.2016</c:v>
                </c:pt>
                <c:pt idx="3">
                  <c:v>31.12.2016</c:v>
                </c:pt>
                <c:pt idx="4">
                  <c:v>30.04.2017</c:v>
                </c:pt>
              </c:strCache>
            </c:strRef>
          </c:cat>
          <c:val>
            <c:numRef>
              <c:f>Sheet1!$C$71:$G$71</c:f>
              <c:numCache>
                <c:formatCode>#,##0.0</c:formatCode>
                <c:ptCount val="5"/>
                <c:pt idx="0">
                  <c:v>3393.8</c:v>
                </c:pt>
                <c:pt idx="1">
                  <c:v>3529</c:v>
                </c:pt>
                <c:pt idx="2">
                  <c:v>3968.2</c:v>
                </c:pt>
                <c:pt idx="3">
                  <c:v>4300.9228131085501</c:v>
                </c:pt>
                <c:pt idx="4">
                  <c:v>4329.2491765264904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5.8333333333333369E-2"/>
                  <c:y val="-6.4814814814814783E-2"/>
                </c:manualLayout>
              </c:layout>
              <c:showVal val="1"/>
            </c:dLbl>
            <c:dLbl>
              <c:idx val="1"/>
              <c:layout>
                <c:manualLayout>
                  <c:x val="-5.5555555555555518E-2"/>
                  <c:y val="-6.0185185185185154E-2"/>
                </c:manualLayout>
              </c:layout>
              <c:showVal val="1"/>
            </c:dLbl>
            <c:dLbl>
              <c:idx val="2"/>
              <c:layout>
                <c:manualLayout>
                  <c:x val="-5.8333333333333431E-2"/>
                  <c:y val="-5.5555555555555518E-2"/>
                </c:manualLayout>
              </c:layout>
              <c:showVal val="1"/>
            </c:dLbl>
            <c:dLbl>
              <c:idx val="3"/>
              <c:layout>
                <c:manualLayout>
                  <c:x val="-5.833333333333339E-2"/>
                  <c:y val="-6.4814814814814783E-2"/>
                </c:manualLayout>
              </c:layout>
              <c:showVal val="1"/>
            </c:dLbl>
            <c:dLbl>
              <c:idx val="4"/>
              <c:layout>
                <c:manualLayout>
                  <c:x val="-4.7222222222222249E-2"/>
                  <c:y val="-6.018518518518526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30.04.2014</c:v>
                </c:pt>
                <c:pt idx="1">
                  <c:v>30.04.2015</c:v>
                </c:pt>
                <c:pt idx="2">
                  <c:v>30.04.2016</c:v>
                </c:pt>
                <c:pt idx="3">
                  <c:v>31.12.2016</c:v>
                </c:pt>
                <c:pt idx="4">
                  <c:v>30.04.2017</c:v>
                </c:pt>
              </c:strCache>
            </c:strRef>
          </c:cat>
          <c:val>
            <c:numRef>
              <c:f>Sheet1!$C$72:$G$72</c:f>
              <c:numCache>
                <c:formatCode>0.0</c:formatCode>
                <c:ptCount val="5"/>
                <c:pt idx="0">
                  <c:v>672.5</c:v>
                </c:pt>
                <c:pt idx="1">
                  <c:v>690.2</c:v>
                </c:pt>
                <c:pt idx="2">
                  <c:v>793.1</c:v>
                </c:pt>
                <c:pt idx="3">
                  <c:v>1136.5073387196799</c:v>
                </c:pt>
                <c:pt idx="4">
                  <c:v>1185.0044173475299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2.4999999999999981E-2"/>
                  <c:y val="3.2407407407407426E-2"/>
                </c:manualLayout>
              </c:layout>
              <c:showVal val="1"/>
            </c:dLbl>
            <c:dLbl>
              <c:idx val="1"/>
              <c:layout>
                <c:manualLayout>
                  <c:x val="-2.5000000000000001E-2"/>
                  <c:y val="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-2.500000000000005E-2"/>
                  <c:y val="2.7777777777777811E-2"/>
                </c:manualLayout>
              </c:layout>
              <c:showVal val="1"/>
            </c:dLbl>
            <c:dLbl>
              <c:idx val="3"/>
              <c:layout>
                <c:manualLayout>
                  <c:x val="-4.1666666666666664E-2"/>
                  <c:y val="3.2407407407407426E-2"/>
                </c:manualLayout>
              </c:layout>
              <c:showVal val="1"/>
            </c:dLbl>
            <c:dLbl>
              <c:idx val="4"/>
              <c:layout>
                <c:manualLayout>
                  <c:x val="-3.6111111111111129E-2"/>
                  <c:y val="3.240740740740742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30.04.2014</c:v>
                </c:pt>
                <c:pt idx="1">
                  <c:v>30.04.2015</c:v>
                </c:pt>
                <c:pt idx="2">
                  <c:v>30.04.2016</c:v>
                </c:pt>
                <c:pt idx="3">
                  <c:v>31.12.2016</c:v>
                </c:pt>
                <c:pt idx="4">
                  <c:v>30.04.2017</c:v>
                </c:pt>
              </c:strCache>
            </c:strRef>
          </c:cat>
          <c:val>
            <c:numRef>
              <c:f>Sheet1!$C$73:$G$73</c:f>
              <c:numCache>
                <c:formatCode>0.0</c:formatCode>
                <c:ptCount val="5"/>
                <c:pt idx="0">
                  <c:v>494.1</c:v>
                </c:pt>
                <c:pt idx="1">
                  <c:v>439.8</c:v>
                </c:pt>
                <c:pt idx="2">
                  <c:v>490.9</c:v>
                </c:pt>
                <c:pt idx="3">
                  <c:v>504.66459379267485</c:v>
                </c:pt>
                <c:pt idx="4">
                  <c:v>523.10494589256098</c:v>
                </c:pt>
              </c:numCache>
            </c:numRef>
          </c:val>
        </c:ser>
        <c:dLbls>
          <c:showVal val="1"/>
        </c:dLbls>
        <c:marker val="1"/>
        <c:axId val="116938240"/>
        <c:axId val="116939776"/>
      </c:lineChart>
      <c:catAx>
        <c:axId val="1169382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16939776"/>
        <c:crosses val="autoZero"/>
        <c:auto val="1"/>
        <c:lblAlgn val="ctr"/>
        <c:lblOffset val="100"/>
      </c:catAx>
      <c:valAx>
        <c:axId val="11693977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11693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81933508311503"/>
          <c:y val="0.17870662000583259"/>
          <c:w val="0.25651399825021881"/>
          <c:h val="0.74374416739574256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en-US"/>
              <a:t>30.04.2015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Sheet1!$C$91</c:f>
              <c:strCache>
                <c:ptCount val="1"/>
                <c:pt idx="0">
                  <c:v>30.04.2015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217082239720035E-2"/>
                  <c:y val="-9.48272090988628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16,4%</a:t>
                    </a:r>
                  </a:p>
                </c:rich>
              </c:tx>
              <c:dLblPos val="bestFit"/>
              <c:showPercent val="1"/>
            </c:dLbl>
            <c:dLbl>
              <c:idx val="1"/>
              <c:layout>
                <c:manualLayout>
                  <c:x val="-9.8666229221347462E-2"/>
                  <c:y val="-7.20326625838438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83,6%</a:t>
                    </a:r>
                  </a:p>
                </c:rich>
              </c:tx>
              <c:dLblPos val="bestFit"/>
              <c:showPercent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Sheet1!$B$92:$B$93</c:f>
              <c:strCache>
                <c:ptCount val="2"/>
                <c:pt idx="0">
                  <c:v>     ներքին պարտք</c:v>
                </c:pt>
                <c:pt idx="1">
                  <c:v>     արտաքին պարտք</c:v>
                </c:pt>
              </c:strCache>
            </c:strRef>
          </c:cat>
          <c:val>
            <c:numRef>
              <c:f>Sheet1!$C$92:$C$93</c:f>
              <c:numCache>
                <c:formatCode>#,##0.0;[Red]#,##0.0</c:formatCode>
                <c:ptCount val="2"/>
                <c:pt idx="0">
                  <c:v>16.399999999999999</c:v>
                </c:pt>
                <c:pt idx="1">
                  <c:v>83.6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Sheet1!$C$112</c:f>
              <c:strCache>
                <c:ptCount val="1"/>
                <c:pt idx="0">
                  <c:v>30.04.2016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7126550190611103E-2"/>
                  <c:y val="-2.55514446236389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16,7%</a:t>
                    </a:r>
                  </a:p>
                </c:rich>
              </c:tx>
              <c:dLblPos val="bestFit"/>
              <c:showPercent val="1"/>
            </c:dLbl>
            <c:dLbl>
              <c:idx val="1"/>
              <c:layout>
                <c:manualLayout>
                  <c:x val="-4.9938860605814019E-2"/>
                  <c:y val="-2.16192855411146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83,3%</a:t>
                    </a:r>
                  </a:p>
                </c:rich>
              </c:tx>
              <c:dLblPos val="bestFit"/>
              <c:showPercent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Sheet1!$B$113:$B$114</c:f>
              <c:strCache>
                <c:ptCount val="2"/>
                <c:pt idx="0">
                  <c:v>     ներքին պարտք</c:v>
                </c:pt>
                <c:pt idx="1">
                  <c:v>     արտաքին պարտք</c:v>
                </c:pt>
              </c:strCache>
            </c:strRef>
          </c:cat>
          <c:val>
            <c:numRef>
              <c:f>Sheet1!$C$113:$C$114</c:f>
              <c:numCache>
                <c:formatCode>#,##0.0;[Red]#,##0.0</c:formatCode>
                <c:ptCount val="2"/>
                <c:pt idx="0">
                  <c:v>16.7</c:v>
                </c:pt>
                <c:pt idx="1">
                  <c:v>83.3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7.4061157580215975E-2"/>
          <c:y val="0.14431057563587685"/>
          <c:w val="0.78728677946398551"/>
          <c:h val="0.12672464134754238"/>
        </c:manualLayout>
      </c:layout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 b="1" i="0" baseline="0">
                <a:latin typeface="GHEA Grapalat" pitchFamily="50" charset="0"/>
              </a:rPr>
              <a:t>/մլն ԱՄՆ դոլար/</a:t>
            </a:r>
            <a:endParaRPr lang="en-US" sz="900">
              <a:latin typeface="GHEA Grapalat" pitchFamily="50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Sheet1!$B$175</c:f>
              <c:strCache>
                <c:ptCount val="1"/>
                <c:pt idx="0">
                  <c:v>Տոկոսավճար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Sheet1!$C$174:$E$174</c:f>
              <c:strCache>
                <c:ptCount val="3"/>
                <c:pt idx="0">
                  <c:v> 2015թ. հունվար-ապրիլ</c:v>
                </c:pt>
                <c:pt idx="1">
                  <c:v>01.01.2016 - 04.30.2016</c:v>
                </c:pt>
                <c:pt idx="2">
                  <c:v>01.01.2017 - 30.04.2017</c:v>
                </c:pt>
              </c:strCache>
            </c:strRef>
          </c:cat>
          <c:val>
            <c:numRef>
              <c:f>Sheet1!$C$175:$E$175</c:f>
              <c:numCache>
                <c:formatCode>General</c:formatCode>
                <c:ptCount val="3"/>
                <c:pt idx="0">
                  <c:v>13.8</c:v>
                </c:pt>
                <c:pt idx="1">
                  <c:v>12.2</c:v>
                </c:pt>
                <c:pt idx="2" formatCode="0.0">
                  <c:v>15.369697320000006</c:v>
                </c:pt>
              </c:numCache>
            </c:numRef>
          </c:val>
        </c:ser>
        <c:ser>
          <c:idx val="1"/>
          <c:order val="1"/>
          <c:tx>
            <c:strRef>
              <c:f>Sheet1!$B$176</c:f>
              <c:strCache>
                <c:ptCount val="1"/>
                <c:pt idx="0">
                  <c:v>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Sheet1!$C$174:$E$174</c:f>
              <c:strCache>
                <c:ptCount val="3"/>
                <c:pt idx="0">
                  <c:v> 2015թ. հունվար-ապրիլ</c:v>
                </c:pt>
                <c:pt idx="1">
                  <c:v>01.01.2016 - 04.30.2016</c:v>
                </c:pt>
                <c:pt idx="2">
                  <c:v>01.01.2017 - 30.04.2017</c:v>
                </c:pt>
              </c:strCache>
            </c:strRef>
          </c:cat>
          <c:val>
            <c:numRef>
              <c:f>Sheet1!$C$176:$E$176</c:f>
              <c:numCache>
                <c:formatCode>#,##0.0;[Red]#,##0.0</c:formatCode>
                <c:ptCount val="3"/>
                <c:pt idx="0" formatCode="0.0">
                  <c:v>22</c:v>
                </c:pt>
                <c:pt idx="1">
                  <c:v>22.4</c:v>
                </c:pt>
                <c:pt idx="2" formatCode="0.0">
                  <c:v>10.51536357</c:v>
                </c:pt>
              </c:numCache>
            </c:numRef>
          </c:val>
        </c:ser>
        <c:ser>
          <c:idx val="2"/>
          <c:order val="2"/>
          <c:tx>
            <c:strRef>
              <c:f>Sheet1!$B$177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Sheet1!$C$174:$E$174</c:f>
              <c:strCache>
                <c:ptCount val="3"/>
                <c:pt idx="0">
                  <c:v> 2015թ. հունվար-ապրիլ</c:v>
                </c:pt>
                <c:pt idx="1">
                  <c:v>01.01.2016 - 04.30.2016</c:v>
                </c:pt>
                <c:pt idx="2">
                  <c:v>01.01.2017 - 30.04.2017</c:v>
                </c:pt>
              </c:strCache>
            </c:strRef>
          </c:cat>
          <c:val>
            <c:numRef>
              <c:f>Sheet1!$C$177:$E$177</c:f>
              <c:numCache>
                <c:formatCode>0.0</c:formatCode>
                <c:ptCount val="3"/>
                <c:pt idx="0" formatCode="General">
                  <c:v>20.7</c:v>
                </c:pt>
                <c:pt idx="1">
                  <c:v>55.4</c:v>
                </c:pt>
                <c:pt idx="2">
                  <c:v>29.102006143000001</c:v>
                </c:pt>
              </c:numCache>
            </c:numRef>
          </c:val>
        </c:ser>
        <c:dLbls>
          <c:showVal val="1"/>
        </c:dLbls>
        <c:overlap val="-25"/>
        <c:axId val="117127424"/>
        <c:axId val="117137408"/>
      </c:barChart>
      <c:catAx>
        <c:axId val="1171274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117137408"/>
        <c:crosses val="autoZero"/>
        <c:auto val="1"/>
        <c:lblAlgn val="ctr"/>
        <c:lblOffset val="100"/>
      </c:catAx>
      <c:valAx>
        <c:axId val="117137408"/>
        <c:scaling>
          <c:orientation val="minMax"/>
        </c:scaling>
        <c:delete val="1"/>
        <c:axPos val="l"/>
        <c:numFmt formatCode="General" sourceLinked="1"/>
        <c:tickLblPos val="nextTo"/>
        <c:crossAx val="117127424"/>
        <c:crosses val="autoZero"/>
        <c:crossBetween val="between"/>
      </c:valAx>
    </c:plotArea>
    <c:legend>
      <c:legendPos val="t"/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2223272090988608"/>
          <c:w val="1"/>
          <c:h val="0.71369422572178565"/>
        </c:manualLayout>
      </c:layout>
      <c:pie3DChart>
        <c:varyColors val="1"/>
        <c:ser>
          <c:idx val="0"/>
          <c:order val="0"/>
          <c:tx>
            <c:strRef>
              <c:f>Sheet1!$C$133</c:f>
              <c:strCache>
                <c:ptCount val="1"/>
                <c:pt idx="0">
                  <c:v>31.12.2016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7446795054232685E-2"/>
                  <c:y val="-3.6105643044619495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GHEA Grapalat" pitchFamily="50" charset="0"/>
                      </a:defRPr>
                    </a:pPr>
                    <a:r>
                      <a:rPr lang="en-US" sz="800" b="1">
                        <a:latin typeface="GHEA Grapalat" pitchFamily="50" charset="0"/>
                      </a:rPr>
                      <a:t>20.9%</a:t>
                    </a:r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4.2059893115770165E-2"/>
                  <c:y val="1.3878681831437745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GHEA Grapalat" pitchFamily="50" charset="0"/>
                      </a:defRPr>
                    </a:pPr>
                    <a:r>
                      <a:rPr lang="en-US" sz="800" b="1">
                        <a:latin typeface="GHEA Grapalat" pitchFamily="50" charset="0"/>
                      </a:rPr>
                      <a:t>79.1%</a:t>
                    </a:r>
                  </a:p>
                </c:rich>
              </c:tx>
              <c:spPr/>
              <c:showPercent val="1"/>
            </c:dLbl>
            <c:showPercent val="1"/>
            <c:showLeaderLines val="1"/>
          </c:dLbls>
          <c:cat>
            <c:strRef>
              <c:f>Sheet1!$B$134:$B$135</c:f>
              <c:strCache>
                <c:ptCount val="2"/>
                <c:pt idx="0">
                  <c:v>     ներքին պարտք</c:v>
                </c:pt>
                <c:pt idx="1">
                  <c:v>     արտաքին պարտք</c:v>
                </c:pt>
              </c:strCache>
            </c:strRef>
          </c:cat>
          <c:val>
            <c:numRef>
              <c:f>Sheet1!$C$134:$C$135</c:f>
              <c:numCache>
                <c:formatCode>0.0</c:formatCode>
                <c:ptCount val="2"/>
                <c:pt idx="0">
                  <c:v>20.901552884087089</c:v>
                </c:pt>
                <c:pt idx="1">
                  <c:v>79.098447115912819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1638888888888888"/>
          <c:w val="0.95159884028011454"/>
          <c:h val="9.2375765529308831E-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Sheet1!$C$152</c:f>
              <c:strCache>
                <c:ptCount val="1"/>
                <c:pt idx="0">
                  <c:v>30.04.2017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4027362433354371E-2"/>
                  <c:y val="-4.45048535599716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21,5%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6.0255151032950101E-2"/>
                  <c:y val="-3.312502603841186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78.5%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Sheet1!$B$153:$B$154</c:f>
              <c:strCache>
                <c:ptCount val="2"/>
                <c:pt idx="0">
                  <c:v>     ներքին պարտք</c:v>
                </c:pt>
                <c:pt idx="1">
                  <c:v>     արտաքին պարտք</c:v>
                </c:pt>
              </c:strCache>
            </c:strRef>
          </c:cat>
          <c:val>
            <c:numRef>
              <c:f>Sheet1!$C$153:$C$154</c:f>
              <c:numCache>
                <c:formatCode>#,##0.0;[Red]#,##0.0</c:formatCode>
                <c:ptCount val="2"/>
                <c:pt idx="0">
                  <c:v>21.489842590191873</c:v>
                </c:pt>
                <c:pt idx="1">
                  <c:v>78.510157409808144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</c:legendEntry>
      <c:layout>
        <c:manualLayout>
          <c:xMode val="edge"/>
          <c:yMode val="edge"/>
          <c:x val="1.0698052987279017E-2"/>
          <c:y val="0.14259259259259288"/>
          <c:w val="0.93214628659222476"/>
          <c:h val="0.10934299879181765"/>
        </c:manualLayout>
      </c:layout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FinComm Expert2</cp:lastModifiedBy>
  <cp:revision>32</cp:revision>
  <cp:lastPrinted>2017-03-20T07:56:00Z</cp:lastPrinted>
  <dcterms:created xsi:type="dcterms:W3CDTF">2017-01-25T10:14:00Z</dcterms:created>
  <dcterms:modified xsi:type="dcterms:W3CDTF">2017-06-07T06:51:00Z</dcterms:modified>
</cp:coreProperties>
</file>