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69" w:rsidRPr="00453866" w:rsidRDefault="00173A69" w:rsidP="00691BBD">
      <w:pPr>
        <w:spacing w:after="0" w:line="360" w:lineRule="auto"/>
        <w:jc w:val="right"/>
        <w:rPr>
          <w:rFonts w:ascii="Sylfaen" w:hAnsi="Sylfaen"/>
          <w:sz w:val="20"/>
          <w:szCs w:val="20"/>
        </w:rPr>
      </w:pPr>
      <w:proofErr w:type="spellStart"/>
      <w:r w:rsidRPr="00453866">
        <w:rPr>
          <w:rFonts w:ascii="Sylfaen" w:hAnsi="Sylfaen"/>
          <w:sz w:val="20"/>
          <w:szCs w:val="20"/>
        </w:rPr>
        <w:t>Պատրաստված</w:t>
      </w:r>
      <w:proofErr w:type="spellEnd"/>
      <w:r w:rsidRPr="00453866">
        <w:rPr>
          <w:rFonts w:ascii="Sylfaen" w:hAnsi="Sylfaen"/>
          <w:sz w:val="20"/>
          <w:szCs w:val="20"/>
        </w:rPr>
        <w:t xml:space="preserve"> է </w:t>
      </w:r>
      <w:r w:rsidR="00EE330C" w:rsidRPr="00453866">
        <w:rPr>
          <w:rFonts w:ascii="Sylfaen" w:hAnsi="Sylfaen"/>
          <w:sz w:val="20"/>
          <w:szCs w:val="20"/>
        </w:rPr>
        <w:t xml:space="preserve">ՀՀ </w:t>
      </w:r>
      <w:r w:rsidRPr="00453866">
        <w:rPr>
          <w:rFonts w:ascii="Sylfaen" w:hAnsi="Sylfaen"/>
          <w:sz w:val="20"/>
          <w:szCs w:val="20"/>
        </w:rPr>
        <w:t xml:space="preserve">ԱԺ </w:t>
      </w:r>
      <w:proofErr w:type="spellStart"/>
      <w:r w:rsidRPr="00453866">
        <w:rPr>
          <w:rFonts w:ascii="Sylfaen" w:hAnsi="Sylfaen"/>
          <w:sz w:val="20"/>
          <w:szCs w:val="20"/>
        </w:rPr>
        <w:t>բյուջետային</w:t>
      </w:r>
      <w:proofErr w:type="spellEnd"/>
      <w:r w:rsidRPr="00453866">
        <w:rPr>
          <w:rFonts w:ascii="Sylfaen" w:hAnsi="Sylfaen"/>
          <w:sz w:val="20"/>
          <w:szCs w:val="20"/>
        </w:rPr>
        <w:t xml:space="preserve"> </w:t>
      </w:r>
      <w:proofErr w:type="spellStart"/>
      <w:r w:rsidRPr="00453866">
        <w:rPr>
          <w:rFonts w:ascii="Sylfaen" w:hAnsi="Sylfaen"/>
          <w:sz w:val="20"/>
          <w:szCs w:val="20"/>
        </w:rPr>
        <w:t>գրասենյակի</w:t>
      </w:r>
      <w:proofErr w:type="spellEnd"/>
      <w:r w:rsidRPr="00453866">
        <w:rPr>
          <w:rFonts w:ascii="Sylfaen" w:hAnsi="Sylfaen"/>
          <w:sz w:val="20"/>
          <w:szCs w:val="20"/>
        </w:rPr>
        <w:t xml:space="preserve"> </w:t>
      </w:r>
      <w:proofErr w:type="spellStart"/>
      <w:r w:rsidRPr="00453866">
        <w:rPr>
          <w:rFonts w:ascii="Sylfaen" w:hAnsi="Sylfaen"/>
          <w:sz w:val="20"/>
          <w:szCs w:val="20"/>
        </w:rPr>
        <w:t>կողմից</w:t>
      </w:r>
      <w:proofErr w:type="spellEnd"/>
    </w:p>
    <w:p w:rsidR="00173A69" w:rsidRPr="00691BBD" w:rsidRDefault="00691BBD" w:rsidP="00B33D18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  <w:r w:rsidRPr="00173A69">
        <w:rPr>
          <w:rFonts w:ascii="GHEA Grapalat" w:eastAsia="Times New Roman" w:hAnsi="GHEA Grapalat" w:cs="Arial"/>
          <w:b/>
          <w:bCs/>
          <w:sz w:val="24"/>
          <w:szCs w:val="24"/>
        </w:rPr>
        <w:t>Տ</w:t>
      </w:r>
      <w:r w:rsidRPr="00691BBD">
        <w:rPr>
          <w:rFonts w:ascii="GHEA Grapalat" w:eastAsia="Times New Roman" w:hAnsi="GHEA Grapalat" w:cs="Arial"/>
          <w:b/>
          <w:bCs/>
          <w:sz w:val="24"/>
          <w:szCs w:val="24"/>
        </w:rPr>
        <w:t>ԵՂԵԿԱՆՔ</w:t>
      </w:r>
    </w:p>
    <w:p w:rsidR="00B33D18" w:rsidRDefault="00691BBD" w:rsidP="00B33D1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proofErr w:type="spellStart"/>
      <w:proofErr w:type="gramStart"/>
      <w:r w:rsidRPr="00173A69">
        <w:rPr>
          <w:rFonts w:ascii="GHEA Grapalat" w:eastAsia="Times New Roman" w:hAnsi="GHEA Grapalat" w:cs="Arial"/>
        </w:rPr>
        <w:t>Հայ</w:t>
      </w:r>
      <w:r>
        <w:rPr>
          <w:rFonts w:ascii="GHEA Grapalat" w:eastAsia="Times New Roman" w:hAnsi="GHEA Grapalat" w:cs="Arial"/>
        </w:rPr>
        <w:t>ա</w:t>
      </w:r>
      <w:r w:rsidRPr="00173A69">
        <w:rPr>
          <w:rFonts w:ascii="GHEA Grapalat" w:eastAsia="Times New Roman" w:hAnsi="GHEA Grapalat" w:cs="Arial"/>
        </w:rPr>
        <w:t>ստանի</w:t>
      </w:r>
      <w:proofErr w:type="spell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r w:rsidRPr="00173A69">
        <w:rPr>
          <w:rFonts w:ascii="GHEA Grapalat" w:eastAsia="Times New Roman" w:hAnsi="GHEA Grapalat" w:cs="Arial"/>
        </w:rPr>
        <w:t>Հանրապետության</w:t>
      </w:r>
      <w:proofErr w:type="spellEnd"/>
      <w:r w:rsidRPr="00173A69">
        <w:rPr>
          <w:rFonts w:ascii="GHEA Grapalat" w:eastAsia="Times New Roman" w:hAnsi="GHEA Grapalat" w:cs="Arial"/>
        </w:rPr>
        <w:t xml:space="preserve"> 2014-2017 </w:t>
      </w:r>
      <w:proofErr w:type="spellStart"/>
      <w:r w:rsidRPr="00173A69">
        <w:rPr>
          <w:rFonts w:ascii="GHEA Grapalat" w:eastAsia="Times New Roman" w:hAnsi="GHEA Grapalat" w:cs="Arial"/>
        </w:rPr>
        <w:t>թթ</w:t>
      </w:r>
      <w:proofErr w:type="spellEnd"/>
      <w:r w:rsidRPr="00173A69">
        <w:rPr>
          <w:rFonts w:ascii="GHEA Grapalat" w:eastAsia="Times New Roman" w:hAnsi="GHEA Grapalat" w:cs="Arial"/>
        </w:rPr>
        <w:t>.</w:t>
      </w:r>
      <w:proofErr w:type="gram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proofErr w:type="gramStart"/>
      <w:r w:rsidRPr="00173A69">
        <w:rPr>
          <w:rFonts w:ascii="GHEA Grapalat" w:eastAsia="Times New Roman" w:hAnsi="GHEA Grapalat" w:cs="Arial"/>
        </w:rPr>
        <w:t>պետական</w:t>
      </w:r>
      <w:proofErr w:type="spellEnd"/>
      <w:proofErr w:type="gram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r w:rsidRPr="00173A69">
        <w:rPr>
          <w:rFonts w:ascii="GHEA Grapalat" w:eastAsia="Times New Roman" w:hAnsi="GHEA Grapalat" w:cs="Arial"/>
        </w:rPr>
        <w:t>բյուջեների</w:t>
      </w:r>
      <w:proofErr w:type="spell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r w:rsidRPr="00173A69">
        <w:rPr>
          <w:rFonts w:ascii="GHEA Grapalat" w:eastAsia="Times New Roman" w:hAnsi="GHEA Grapalat" w:cs="Arial"/>
        </w:rPr>
        <w:t>եկամուտների</w:t>
      </w:r>
      <w:proofErr w:type="spellEnd"/>
      <w:r w:rsidRPr="00173A69">
        <w:rPr>
          <w:rFonts w:ascii="GHEA Grapalat" w:eastAsia="Times New Roman" w:hAnsi="GHEA Grapalat" w:cs="Arial"/>
        </w:rPr>
        <w:t xml:space="preserve"> </w:t>
      </w:r>
      <w:proofErr w:type="spellStart"/>
      <w:r w:rsidRPr="00173A69">
        <w:rPr>
          <w:rFonts w:ascii="GHEA Grapalat" w:eastAsia="Times New Roman" w:hAnsi="GHEA Grapalat" w:cs="Arial"/>
        </w:rPr>
        <w:t>վերաբերյալ</w:t>
      </w:r>
      <w:proofErr w:type="spellEnd"/>
      <w:r w:rsidRPr="00173A69">
        <w:rPr>
          <w:rFonts w:ascii="GHEA Grapalat" w:eastAsia="Times New Roman" w:hAnsi="GHEA Grapalat" w:cs="Arial"/>
        </w:rPr>
        <w:t xml:space="preserve"> (</w:t>
      </w:r>
      <w:proofErr w:type="spellStart"/>
      <w:r w:rsidRPr="00173A69">
        <w:rPr>
          <w:rFonts w:ascii="GHEA Grapalat" w:eastAsia="Times New Roman" w:hAnsi="GHEA Grapalat" w:cs="Arial"/>
        </w:rPr>
        <w:t>հունվար-</w:t>
      </w:r>
      <w:r w:rsidR="009056F8">
        <w:rPr>
          <w:rFonts w:ascii="GHEA Grapalat" w:eastAsia="Times New Roman" w:hAnsi="GHEA Grapalat" w:cs="Arial"/>
        </w:rPr>
        <w:t>ապրիլ</w:t>
      </w:r>
      <w:proofErr w:type="spellEnd"/>
      <w:r w:rsidRPr="00173A69">
        <w:rPr>
          <w:rFonts w:ascii="GHEA Grapalat" w:eastAsia="Times New Roman" w:hAnsi="GHEA Grapalat" w:cs="Arial"/>
        </w:rPr>
        <w:t>)`</w:t>
      </w:r>
    </w:p>
    <w:p w:rsidR="00691BBD" w:rsidRDefault="005B32B8" w:rsidP="005B32B8">
      <w:pPr>
        <w:spacing w:after="0" w:line="240" w:lineRule="auto"/>
        <w:jc w:val="center"/>
        <w:rPr>
          <w:rFonts w:ascii="GHEA Grapalat" w:eastAsia="Times New Roman" w:hAnsi="GHEA Grapalat" w:cs="Arial"/>
        </w:rPr>
      </w:pPr>
      <w:r>
        <w:rPr>
          <w:rFonts w:ascii="GHEA Grapalat" w:eastAsia="Times New Roman" w:hAnsi="GHEA Grapalat" w:cs="Arial"/>
        </w:rPr>
        <w:t xml:space="preserve">                                                                           </w:t>
      </w:r>
      <w:proofErr w:type="spellStart"/>
      <w:proofErr w:type="gramStart"/>
      <w:r w:rsidR="00D72992">
        <w:rPr>
          <w:rFonts w:ascii="GHEA Grapalat" w:eastAsia="Times New Roman" w:hAnsi="GHEA Grapalat" w:cs="Arial"/>
        </w:rPr>
        <w:t>գ</w:t>
      </w:r>
      <w:r w:rsidR="00691BBD" w:rsidRPr="00173A69">
        <w:rPr>
          <w:rFonts w:ascii="GHEA Grapalat" w:eastAsia="Times New Roman" w:hAnsi="GHEA Grapalat" w:cs="Arial"/>
        </w:rPr>
        <w:t>ծապատկերներով</w:t>
      </w:r>
      <w:proofErr w:type="spellEnd"/>
      <w:proofErr w:type="gramEnd"/>
      <w:r>
        <w:rPr>
          <w:rFonts w:ascii="GHEA Grapalat" w:eastAsia="Times New Roman" w:hAnsi="GHEA Grapalat" w:cs="Arial"/>
        </w:rPr>
        <w:t xml:space="preserve">                                                          </w:t>
      </w:r>
      <w:proofErr w:type="spellStart"/>
      <w:r w:rsidRPr="005B32B8">
        <w:rPr>
          <w:rFonts w:ascii="GHEA Grapalat" w:eastAsia="Times New Roman" w:hAnsi="GHEA Grapalat" w:cs="Arial"/>
          <w:b/>
          <w:sz w:val="20"/>
          <w:szCs w:val="20"/>
        </w:rPr>
        <w:t>մլրդ</w:t>
      </w:r>
      <w:proofErr w:type="spellEnd"/>
      <w:r w:rsidRPr="005B32B8">
        <w:rPr>
          <w:rFonts w:ascii="GHEA Grapalat" w:eastAsia="Times New Roman" w:hAnsi="GHEA Grapalat" w:cs="Arial"/>
          <w:b/>
          <w:sz w:val="20"/>
          <w:szCs w:val="20"/>
        </w:rPr>
        <w:t xml:space="preserve"> </w:t>
      </w:r>
      <w:proofErr w:type="spellStart"/>
      <w:r w:rsidRPr="005B32B8">
        <w:rPr>
          <w:rFonts w:ascii="GHEA Grapalat" w:eastAsia="Times New Roman" w:hAnsi="GHEA Grapalat" w:cs="Arial"/>
          <w:b/>
          <w:sz w:val="20"/>
          <w:szCs w:val="20"/>
        </w:rPr>
        <w:t>դրամ</w:t>
      </w:r>
      <w:proofErr w:type="spellEnd"/>
    </w:p>
    <w:p w:rsidR="00B71918" w:rsidRPr="00B71918" w:rsidRDefault="00B71918" w:rsidP="00B33D18">
      <w:pPr>
        <w:spacing w:after="0" w:line="240" w:lineRule="auto"/>
        <w:jc w:val="center"/>
        <w:rPr>
          <w:rFonts w:ascii="GHEA Grapalat" w:eastAsia="Times New Roman" w:hAnsi="GHEA Grapalat" w:cs="Arial"/>
          <w:sz w:val="8"/>
          <w:szCs w:val="8"/>
        </w:rPr>
      </w:pPr>
    </w:p>
    <w:p w:rsidR="00173A69" w:rsidRDefault="000B64F2">
      <w:r w:rsidRPr="000B64F2">
        <w:rPr>
          <w:noProof/>
        </w:rPr>
        <w:drawing>
          <wp:inline distT="0" distB="0" distL="0" distR="0">
            <wp:extent cx="4791075" cy="28479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00664B" w:rsidRPr="0000664B">
        <w:rPr>
          <w:noProof/>
        </w:rPr>
        <w:drawing>
          <wp:inline distT="0" distB="0" distL="0" distR="0">
            <wp:extent cx="4591050" cy="28479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918" w:rsidRDefault="00CF72D9">
      <w:pPr>
        <w:rPr>
          <w:rFonts w:ascii="Sylfaen" w:hAnsi="Sylfaen" w:cs="Sylfaen"/>
        </w:rPr>
      </w:pPr>
      <w:r w:rsidRPr="00CF72D9">
        <w:rPr>
          <w:rFonts w:ascii="Sylfaen" w:hAnsi="Sylfaen" w:cs="Sylfaen"/>
          <w:noProof/>
        </w:rPr>
        <w:drawing>
          <wp:inline distT="0" distB="0" distL="0" distR="0">
            <wp:extent cx="4791075" cy="298132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71918" w:rsidRPr="00B71918">
        <w:rPr>
          <w:rFonts w:ascii="Sylfaen" w:hAnsi="Sylfaen" w:cs="Sylfaen"/>
        </w:rPr>
        <w:t xml:space="preserve"> </w:t>
      </w:r>
      <w:r w:rsidR="00CE73D3" w:rsidRPr="00CE73D3">
        <w:rPr>
          <w:rFonts w:ascii="Sylfaen" w:hAnsi="Sylfaen" w:cs="Sylfaen"/>
        </w:rPr>
        <w:drawing>
          <wp:inline distT="0" distB="0" distL="0" distR="0">
            <wp:extent cx="4572000" cy="29813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5DF0" w:rsidRPr="00A31794" w:rsidRDefault="00B71918" w:rsidP="00B71918">
      <w:pPr>
        <w:spacing w:after="0" w:line="240" w:lineRule="auto"/>
        <w:rPr>
          <w:sz w:val="16"/>
          <w:szCs w:val="16"/>
        </w:rPr>
      </w:pPr>
      <w:proofErr w:type="spellStart"/>
      <w:proofErr w:type="gramStart"/>
      <w:r w:rsidRPr="00A31794">
        <w:rPr>
          <w:rFonts w:ascii="Sylfaen" w:hAnsi="Sylfaen" w:cs="Sylfaen"/>
          <w:b/>
          <w:sz w:val="16"/>
          <w:szCs w:val="16"/>
        </w:rPr>
        <w:t>Տեղեկատվության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աղբյուրներ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են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հանդիսացել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Հայաստանի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Հանրապետության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ֆինանսների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նախարարության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ինտերնետային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կայքում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հրապարակված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Հայաստանի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Հանրապետության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r w:rsidR="005A7921" w:rsidRPr="00A31794">
        <w:rPr>
          <w:rFonts w:ascii="Sylfaen" w:hAnsi="Sylfaen"/>
          <w:b/>
          <w:sz w:val="16"/>
          <w:szCs w:val="16"/>
        </w:rPr>
        <w:t xml:space="preserve">2014-2017 </w:t>
      </w:r>
      <w:proofErr w:type="spellStart"/>
      <w:r w:rsidR="005A7921" w:rsidRPr="00A31794">
        <w:rPr>
          <w:rFonts w:ascii="Sylfaen" w:hAnsi="Sylfaen" w:cs="Sylfaen"/>
          <w:b/>
          <w:sz w:val="16"/>
          <w:szCs w:val="16"/>
        </w:rPr>
        <w:t>թթ</w:t>
      </w:r>
      <w:proofErr w:type="spellEnd"/>
      <w:r w:rsidR="005A7921" w:rsidRPr="00A31794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պետական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բյուջե</w:t>
      </w:r>
      <w:r w:rsidR="005A7921">
        <w:rPr>
          <w:rFonts w:ascii="Sylfaen" w:hAnsi="Sylfaen" w:cs="Sylfaen"/>
          <w:b/>
          <w:sz w:val="16"/>
          <w:szCs w:val="16"/>
        </w:rPr>
        <w:t>ներ</w:t>
      </w:r>
      <w:r w:rsidRPr="00A31794">
        <w:rPr>
          <w:rFonts w:ascii="Sylfaen" w:hAnsi="Sylfaen" w:cs="Sylfaen"/>
          <w:b/>
          <w:sz w:val="16"/>
          <w:szCs w:val="16"/>
        </w:rPr>
        <w:t>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կատարման</w:t>
      </w:r>
      <w:proofErr w:type="spellEnd"/>
      <w:r w:rsidRPr="00A31794">
        <w:rPr>
          <w:rFonts w:ascii="Sylfaen" w:hAnsi="Sylfaen"/>
          <w:b/>
          <w:sz w:val="16"/>
          <w:szCs w:val="16"/>
        </w:rPr>
        <w:t>.</w:t>
      </w:r>
      <w:proofErr w:type="gram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="005A7921">
        <w:rPr>
          <w:rFonts w:ascii="Sylfaen" w:hAnsi="Sylfaen" w:cs="Sylfaen"/>
          <w:b/>
          <w:sz w:val="16"/>
          <w:szCs w:val="16"/>
        </w:rPr>
        <w:t>ապրիլ</w:t>
      </w:r>
      <w:proofErr w:type="spellEnd"/>
      <w:r w:rsidR="005A7921">
        <w:rPr>
          <w:rFonts w:ascii="Sylfaen" w:hAnsi="Sylfaen" w:cs="Sylfaen"/>
          <w:b/>
          <w:sz w:val="16"/>
          <w:szCs w:val="16"/>
        </w:rPr>
        <w:t xml:space="preserve"> </w:t>
      </w:r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ամսվա</w:t>
      </w:r>
      <w:proofErr w:type="spellEnd"/>
      <w:proofErr w:type="gram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ամփոփ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բնութագրերը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r w:rsidRPr="00A31794">
        <w:rPr>
          <w:rFonts w:ascii="Sylfaen" w:hAnsi="Sylfaen" w:cs="Sylfaen"/>
          <w:b/>
          <w:sz w:val="16"/>
          <w:szCs w:val="16"/>
        </w:rPr>
        <w:t>և</w:t>
      </w:r>
      <w:r w:rsidRPr="00A31794">
        <w:rPr>
          <w:rFonts w:ascii="Sylfaen" w:hAnsi="Sylfaen"/>
          <w:b/>
          <w:sz w:val="16"/>
          <w:szCs w:val="16"/>
        </w:rPr>
        <w:t xml:space="preserve"> «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Հայաստանի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Հանրապետության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2017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թվականի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պետական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բյուջեի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կատարումն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ապահովող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միջոցառումների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մասին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»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Հայաստանի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Հանրապետության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կառավարության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29.12.2016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թվականի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թիվ</w:t>
      </w:r>
      <w:proofErr w:type="spellEnd"/>
      <w:r w:rsidRPr="00A31794">
        <w:rPr>
          <w:rFonts w:ascii="Sylfaen" w:hAnsi="Sylfaen"/>
          <w:b/>
          <w:sz w:val="16"/>
          <w:szCs w:val="16"/>
        </w:rPr>
        <w:t xml:space="preserve"> 1313-</w:t>
      </w:r>
      <w:r w:rsidRPr="00A31794">
        <w:rPr>
          <w:rFonts w:ascii="Sylfaen" w:hAnsi="Sylfaen" w:cs="Sylfaen"/>
          <w:b/>
          <w:sz w:val="16"/>
          <w:szCs w:val="16"/>
        </w:rPr>
        <w:t>Ն</w:t>
      </w:r>
      <w:r w:rsidRPr="00A3179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31794">
        <w:rPr>
          <w:rFonts w:ascii="Sylfaen" w:hAnsi="Sylfaen" w:cs="Sylfaen"/>
          <w:b/>
          <w:sz w:val="16"/>
          <w:szCs w:val="16"/>
        </w:rPr>
        <w:t>որոշումը</w:t>
      </w:r>
      <w:proofErr w:type="spellEnd"/>
    </w:p>
    <w:sectPr w:rsidR="00D25DF0" w:rsidRPr="00A31794" w:rsidSect="00751C9B">
      <w:pgSz w:w="15840" w:h="12240" w:orient="landscape"/>
      <w:pgMar w:top="270" w:right="18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3A69"/>
    <w:rsid w:val="0000664B"/>
    <w:rsid w:val="000B64F2"/>
    <w:rsid w:val="00113D8C"/>
    <w:rsid w:val="00116141"/>
    <w:rsid w:val="00173A69"/>
    <w:rsid w:val="001F75CD"/>
    <w:rsid w:val="00291EAC"/>
    <w:rsid w:val="002C450F"/>
    <w:rsid w:val="00453866"/>
    <w:rsid w:val="00526BC2"/>
    <w:rsid w:val="005768CB"/>
    <w:rsid w:val="005A7921"/>
    <w:rsid w:val="005B32B8"/>
    <w:rsid w:val="005E0FD9"/>
    <w:rsid w:val="005F01F7"/>
    <w:rsid w:val="00691BBD"/>
    <w:rsid w:val="006A7C1F"/>
    <w:rsid w:val="007112B3"/>
    <w:rsid w:val="00751C9B"/>
    <w:rsid w:val="007833A4"/>
    <w:rsid w:val="008348A9"/>
    <w:rsid w:val="00845E5A"/>
    <w:rsid w:val="009056F8"/>
    <w:rsid w:val="00A31794"/>
    <w:rsid w:val="00A6161B"/>
    <w:rsid w:val="00A855AE"/>
    <w:rsid w:val="00B33D18"/>
    <w:rsid w:val="00B71918"/>
    <w:rsid w:val="00BA4DE7"/>
    <w:rsid w:val="00C5174D"/>
    <w:rsid w:val="00C5622D"/>
    <w:rsid w:val="00C90DAB"/>
    <w:rsid w:val="00CB7BF1"/>
    <w:rsid w:val="00CE73D3"/>
    <w:rsid w:val="00CF72D9"/>
    <w:rsid w:val="00D231D5"/>
    <w:rsid w:val="00D25DF0"/>
    <w:rsid w:val="00D72992"/>
    <w:rsid w:val="00DC6619"/>
    <w:rsid w:val="00E91C9A"/>
    <w:rsid w:val="00EE330C"/>
    <w:rsid w:val="00F0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2;&#1388;&#1400;&#1408;&#1407;&#1377;&#1397;&#1387;&#1398;%20&#1407;&#1381;&#1394;&#1381;&#1391;&#1377;&#1398;&#1412;&#1398;&#1381;&#1408;%202017\&#1333;&#1391;&#1377;&#1396;&#1400;&#1410;&#1407;&#1398;&#1381;&#1408;%20&#1344;&#1400;&#1410;&#1398;&#1406;&#1377;&#1408;%202017\April\april%20-%20Ekamutner%20-%20&#1379;&#1390;&#1377;&#1402;&#1377;&#1407;&#1391;&#1381;&#1408;&#1398;&#1381;&#140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2;&#1388;&#1400;&#1408;&#1407;&#1377;&#1397;&#1387;&#1398;%20&#1407;&#1381;&#1394;&#1381;&#1391;&#1377;&#1398;&#1412;&#1398;&#1381;&#1408;%202017\&#1333;&#1391;&#1377;&#1396;&#1400;&#1410;&#1407;&#1398;&#1381;&#1408;%20&#1344;&#1400;&#1410;&#1398;&#1406;&#1377;&#1408;%202017\April\april%20-%20Ekamutner%20-%20&#1379;&#1390;&#1377;&#1402;&#1377;&#1407;&#1391;&#1381;&#1408;&#1398;&#1381;&#140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.Budjet6-26\Desktop\&#1352;&#1388;&#1400;&#1408;&#1407;&#1377;&#1397;&#1387;&#1398;%20&#1407;&#1381;&#1394;&#1381;&#1391;&#1377;&#1398;&#1412;&#1398;&#1381;&#1408;%202017\&#1333;&#1391;&#1377;&#1396;&#1400;&#1410;&#1407;&#1398;&#1381;&#1408;%20&#1344;&#1400;&#1410;&#1398;&#1406;&#1377;&#1408;%202017\April\april%20-%20Ekamutner%20-%20&#1379;&#1390;&#1377;&#1402;&#1377;&#1407;&#1391;&#1381;&#1408;&#1398;&#1381;&#140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ARSGAGIK3\Azgayin%20joghovi%20byujetayin%20grasenyak\PBO%20in%20PRACTICE\2017%20TVAKANI%20PBO%20GORTSUNEUTYUN\revenue\APRIL\april%20-%20Ekamutner%20-%20&#1379;&#1390;&#1377;&#1402;&#1377;&#1407;&#1391;&#1381;&#1408;&#1398;&#1381;&#140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2.9158383035122592E-2"/>
          <c:y val="0.33736496984699699"/>
          <c:w val="0.94168323392975484"/>
          <c:h val="0.51854001527401061"/>
        </c:manualLayout>
      </c:layout>
      <c:barChart>
        <c:barDir val="col"/>
        <c:grouping val="clustered"/>
        <c:ser>
          <c:idx val="0"/>
          <c:order val="0"/>
          <c:tx>
            <c:strRef>
              <c:f>Ընդամենը!$A$19</c:f>
              <c:strCache>
                <c:ptCount val="1"/>
                <c:pt idx="0">
                  <c:v>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Ընդամենը!$B$18:$C$18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Ընդամենը!$B$19:$C$19</c:f>
              <c:numCache>
                <c:formatCode>#,##0.0;[Red]#,##0.0</c:formatCode>
                <c:ptCount val="2"/>
                <c:pt idx="0">
                  <c:v>554.4</c:v>
                </c:pt>
                <c:pt idx="1">
                  <c:v>383.2</c:v>
                </c:pt>
              </c:numCache>
            </c:numRef>
          </c:val>
        </c:ser>
        <c:ser>
          <c:idx val="1"/>
          <c:order val="1"/>
          <c:tx>
            <c:strRef>
              <c:f>Ընդամենը!$A$20</c:f>
              <c:strCache>
                <c:ptCount val="1"/>
                <c:pt idx="0">
                  <c:v>ՀԱՐԿԱՅԻՆ ԵԿԱՄՈՒՏՆԵՐ ԵՎ ՊԵՏԱԿԱՆ ՏՈՒՐՔԵՐ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Ընդամենը!$B$18:$C$18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Ընդամենը!$B$20:$C$20</c:f>
              <c:numCache>
                <c:formatCode>#,##0.0;[Red]#,##0.0</c:formatCode>
                <c:ptCount val="2"/>
                <c:pt idx="0">
                  <c:v>531.6</c:v>
                </c:pt>
                <c:pt idx="1">
                  <c:v>363.1</c:v>
                </c:pt>
              </c:numCache>
            </c:numRef>
          </c:val>
        </c:ser>
        <c:ser>
          <c:idx val="2"/>
          <c:order val="2"/>
          <c:tx>
            <c:strRef>
              <c:f>Ընդամենը!$A$21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Ընդամենը!$B$18:$C$18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Ընդամենը!$B$21:$C$21</c:f>
              <c:numCache>
                <c:formatCode>#,##0.0;[Red]#,##0.0</c:formatCode>
                <c:ptCount val="2"/>
                <c:pt idx="0">
                  <c:v>8.8000000000000007</c:v>
                </c:pt>
                <c:pt idx="1">
                  <c:v>3.4</c:v>
                </c:pt>
              </c:numCache>
            </c:numRef>
          </c:val>
        </c:ser>
        <c:ser>
          <c:idx val="3"/>
          <c:order val="3"/>
          <c:tx>
            <c:strRef>
              <c:f>Ընդամենը!$A$22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>
                      <a:latin typeface="GHEA Grapalat" pitchFamily="50" charset="0"/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sz="9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Ընդամենը!$B$18:$C$18</c:f>
              <c:strCache>
                <c:ptCount val="2"/>
                <c:pt idx="0">
                  <c:v>2017թ. 1-ին կիսամյակ (հաստատված)</c:v>
                </c:pt>
                <c:pt idx="1">
                  <c:v>2017թ. (փաստացի)</c:v>
                </c:pt>
              </c:strCache>
            </c:strRef>
          </c:cat>
          <c:val>
            <c:numRef>
              <c:f>Ընդամենը!$B$22:$C$22</c:f>
              <c:numCache>
                <c:formatCode>#,##0.0;[Red]#,##0.0</c:formatCode>
                <c:ptCount val="2"/>
                <c:pt idx="0">
                  <c:v>13.9</c:v>
                </c:pt>
                <c:pt idx="1">
                  <c:v>16.8</c:v>
                </c:pt>
              </c:numCache>
            </c:numRef>
          </c:val>
        </c:ser>
        <c:dLbls>
          <c:showVal val="1"/>
        </c:dLbls>
        <c:overlap val="-25"/>
        <c:axId val="117820032"/>
        <c:axId val="117821824"/>
      </c:barChart>
      <c:catAx>
        <c:axId val="1178200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>
                <a:latin typeface="GHEA Grapalat" pitchFamily="50" charset="0"/>
              </a:defRPr>
            </a:pPr>
            <a:endParaRPr lang="en-US"/>
          </a:p>
        </c:txPr>
        <c:crossAx val="117821824"/>
        <c:crosses val="autoZero"/>
        <c:auto val="1"/>
        <c:lblAlgn val="ctr"/>
        <c:lblOffset val="100"/>
      </c:catAx>
      <c:valAx>
        <c:axId val="117821824"/>
        <c:scaling>
          <c:orientation val="minMax"/>
        </c:scaling>
        <c:delete val="1"/>
        <c:axPos val="l"/>
        <c:numFmt formatCode="#,##0.0;[Red]#,##0.0" sourceLinked="1"/>
        <c:majorTickMark val="none"/>
        <c:tickLblPos val="nextTo"/>
        <c:crossAx val="117820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415997453598625E-2"/>
          <c:y val="3.0992196209587507E-2"/>
          <c:w val="0.93707236893599022"/>
          <c:h val="0.20380867107330647"/>
        </c:manualLayout>
      </c:layout>
      <c:txPr>
        <a:bodyPr/>
        <a:lstStyle/>
        <a:p>
          <a:pPr>
            <a:defRPr sz="7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>
        <c:manualLayout>
          <c:layoutTarget val="inner"/>
          <c:xMode val="edge"/>
          <c:yMode val="edge"/>
          <c:x val="2.9510395707578806E-2"/>
          <c:y val="0.10739314776288424"/>
          <c:w val="0.94097920858484363"/>
          <c:h val="0.74832609134560524"/>
        </c:manualLayout>
      </c:layout>
      <c:barChart>
        <c:barDir val="col"/>
        <c:grouping val="clustered"/>
        <c:ser>
          <c:idx val="0"/>
          <c:order val="0"/>
          <c:tx>
            <c:strRef>
              <c:f>հարկեր!$B$1</c:f>
              <c:strCache>
                <c:ptCount val="1"/>
                <c:pt idx="0">
                  <c:v>2014թ. </c:v>
                </c:pt>
              </c:strCache>
            </c:strRef>
          </c:tx>
          <c:dLbls>
            <c:dLbl>
              <c:idx val="0"/>
              <c:layout>
                <c:manualLayout>
                  <c:x val="-1.6096579476861193E-2"/>
                  <c:y val="-2.6755852842809402E-2"/>
                </c:manualLayout>
              </c:layout>
              <c:showVal val="1"/>
            </c:dLbl>
            <c:dLbl>
              <c:idx val="1"/>
              <c:layout>
                <c:manualLayout>
                  <c:x val="-8.0482897384306085E-3"/>
                  <c:y val="-8.9186176142698748E-3"/>
                </c:manualLayout>
              </c:layout>
              <c:showVal val="1"/>
            </c:dLbl>
            <c:dLbl>
              <c:idx val="2"/>
              <c:layout>
                <c:manualLayout>
                  <c:x val="-1.6096579476861193E-2"/>
                  <c:y val="-8.9186176142698088E-3"/>
                </c:manualLayout>
              </c:layout>
              <c:showVal val="1"/>
            </c:dLbl>
            <c:dLbl>
              <c:idx val="3"/>
              <c:layout>
                <c:manualLayout>
                  <c:x val="-1.6096579476861193E-2"/>
                  <c:y val="-8.918968740947511E-3"/>
                </c:manualLayout>
              </c:layout>
              <c:showVal val="1"/>
            </c:dLbl>
            <c:dLbl>
              <c:idx val="4"/>
              <c:layout>
                <c:manualLayout>
                  <c:x val="-8.048289738430572E-3"/>
                  <c:y val="-8.1753050379259477E-17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հարկեր!$B$2:$B$7</c:f>
              <c:numCache>
                <c:formatCode>#,##0.0;[Red]#,##0.0</c:formatCode>
                <c:ptCount val="6"/>
                <c:pt idx="0">
                  <c:v>130.4</c:v>
                </c:pt>
                <c:pt idx="1">
                  <c:v>12.4</c:v>
                </c:pt>
                <c:pt idx="2">
                  <c:v>41.1</c:v>
                </c:pt>
                <c:pt idx="3">
                  <c:v>85.6</c:v>
                </c:pt>
                <c:pt idx="4">
                  <c:v>14.4</c:v>
                </c:pt>
                <c:pt idx="5">
                  <c:v>1.2</c:v>
                </c:pt>
              </c:numCache>
            </c:numRef>
          </c:val>
        </c:ser>
        <c:ser>
          <c:idx val="1"/>
          <c:order val="1"/>
          <c:tx>
            <c:strRef>
              <c:f>հարկեր!$C$1</c:f>
              <c:strCache>
                <c:ptCount val="1"/>
                <c:pt idx="0">
                  <c:v>2015թ.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675585284280940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8.918968740947511E-3"/>
                </c:manualLayout>
              </c:layout>
              <c:showVal val="1"/>
            </c:dLbl>
            <c:dLbl>
              <c:idx val="2"/>
              <c:layout>
                <c:manualLayout>
                  <c:x val="-8.04828973843057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8.048289738430572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9.8366849349692599E-17"/>
                  <c:y val="-1.337792642140474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հարկեր!$C$2:$C$7</c:f>
              <c:numCache>
                <c:formatCode>#,##0.0;[Red]#,##0.0</c:formatCode>
                <c:ptCount val="6"/>
                <c:pt idx="0">
                  <c:v>126.4</c:v>
                </c:pt>
                <c:pt idx="1">
                  <c:v>13.5</c:v>
                </c:pt>
                <c:pt idx="2">
                  <c:v>40.9</c:v>
                </c:pt>
                <c:pt idx="3">
                  <c:v>91.9</c:v>
                </c:pt>
                <c:pt idx="4">
                  <c:v>19.7</c:v>
                </c:pt>
                <c:pt idx="5">
                  <c:v>0.9</c:v>
                </c:pt>
              </c:numCache>
            </c:numRef>
          </c:val>
        </c:ser>
        <c:ser>
          <c:idx val="2"/>
          <c:order val="2"/>
          <c:tx>
            <c:strRef>
              <c:f>հարկեր!$D$1</c:f>
              <c:strCache>
                <c:ptCount val="1"/>
                <c:pt idx="0">
                  <c:v>2016թ. </c:v>
                </c:pt>
              </c:strCache>
            </c:strRef>
          </c:tx>
          <c:dLbls>
            <c:dLbl>
              <c:idx val="0"/>
              <c:layout>
                <c:manualLayout>
                  <c:x val="1.2295856168711539E-17"/>
                  <c:y val="-4.0133779264214048E-2"/>
                </c:manualLayout>
              </c:layout>
              <c:showVal val="1"/>
            </c:dLbl>
            <c:dLbl>
              <c:idx val="1"/>
              <c:layout>
                <c:manualLayout>
                  <c:x val="8.2153320046612546E-3"/>
                  <c:y val="-1.783723522853958E-2"/>
                </c:manualLayout>
              </c:layout>
              <c:showVal val="1"/>
            </c:dLbl>
            <c:dLbl>
              <c:idx val="2"/>
              <c:layout>
                <c:manualLayout>
                  <c:x val="2.682552004943044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5.3655264922870564E-3"/>
                  <c:y val="-8.9186176142698088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հարկեր!$D$2:$D$7</c:f>
              <c:numCache>
                <c:formatCode>#,##0.0;[Red]#,##0.0</c:formatCode>
                <c:ptCount val="6"/>
                <c:pt idx="0">
                  <c:v>116.7</c:v>
                </c:pt>
                <c:pt idx="1">
                  <c:v>16.5</c:v>
                </c:pt>
                <c:pt idx="2">
                  <c:v>45.8</c:v>
                </c:pt>
                <c:pt idx="3">
                  <c:v>97.5</c:v>
                </c:pt>
                <c:pt idx="4">
                  <c:v>16.100000000000001</c:v>
                </c:pt>
                <c:pt idx="5">
                  <c:v>0.9</c:v>
                </c:pt>
              </c:numCache>
            </c:numRef>
          </c:val>
        </c:ser>
        <c:ser>
          <c:idx val="3"/>
          <c:order val="3"/>
          <c:tx>
            <c:strRef>
              <c:f>հարկեր!$E$1</c:f>
              <c:strCache>
                <c:ptCount val="1"/>
                <c:pt idx="0">
                  <c:v>2017թ.</c:v>
                </c:pt>
              </c:strCache>
            </c:strRef>
          </c:tx>
          <c:dLbls>
            <c:dLbl>
              <c:idx val="0"/>
              <c:layout>
                <c:manualLayout>
                  <c:x val="1.3413816230717662E-2"/>
                  <c:y val="-1.783723522853958E-2"/>
                </c:manualLayout>
              </c:layout>
              <c:showVal val="1"/>
            </c:dLbl>
            <c:dLbl>
              <c:idx val="1"/>
              <c:layout>
                <c:manualLayout>
                  <c:x val="1.0647673190228815E-2"/>
                  <c:y val="-3.1215161649944201E-2"/>
                </c:manualLayout>
              </c:layout>
              <c:showVal val="1"/>
            </c:dLbl>
            <c:dLbl>
              <c:idx val="2"/>
              <c:layout>
                <c:manualLayout>
                  <c:x val="8.048289738430572E-3"/>
                  <c:y val="-2.2296544035674472E-2"/>
                </c:manualLayout>
              </c:layout>
              <c:showVal val="1"/>
            </c:dLbl>
            <c:dLbl>
              <c:idx val="3"/>
              <c:layout>
                <c:manualLayout>
                  <c:x val="1.0731096372289558E-2"/>
                  <c:y val="-1.3377926421404666E-2"/>
                </c:manualLayout>
              </c:layout>
              <c:showVal val="1"/>
            </c:dLbl>
            <c:dLbl>
              <c:idx val="4"/>
              <c:layout>
                <c:manualLayout>
                  <c:x val="1.6096579476861193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հարկեր!$A$2:$A$7</c:f>
              <c:strCache>
                <c:ptCount val="6"/>
                <c:pt idx="0">
                  <c:v>ԱԱՀ</c:v>
                </c:pt>
                <c:pt idx="1">
                  <c:v>Ակցիզային հարկ</c:v>
                </c:pt>
                <c:pt idx="2">
                  <c:v>Շահութահարկ</c:v>
                </c:pt>
                <c:pt idx="3">
                  <c:v>Եկամտային հարկ</c:v>
                </c:pt>
                <c:pt idx="4">
                  <c:v>Մաքսատուրքեր</c:v>
                </c:pt>
                <c:pt idx="5">
                  <c:v>Հաստատագրված վճարներ</c:v>
                </c:pt>
              </c:strCache>
            </c:strRef>
          </c:cat>
          <c:val>
            <c:numRef>
              <c:f>հարկեր!$E$2:$E$7</c:f>
              <c:numCache>
                <c:formatCode>#,##0.0;[Red]#,##0.0</c:formatCode>
                <c:ptCount val="6"/>
                <c:pt idx="0">
                  <c:v>129</c:v>
                </c:pt>
                <c:pt idx="1">
                  <c:v>19.600000000000001</c:v>
                </c:pt>
                <c:pt idx="2">
                  <c:v>48.8</c:v>
                </c:pt>
                <c:pt idx="3">
                  <c:v>102.9</c:v>
                </c:pt>
                <c:pt idx="4">
                  <c:v>18.5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overlap val="-25"/>
        <c:axId val="113014272"/>
        <c:axId val="113015808"/>
      </c:barChart>
      <c:catAx>
        <c:axId val="1130142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70">
                <a:latin typeface="GHEA Grapalat" pitchFamily="50" charset="0"/>
              </a:defRPr>
            </a:pPr>
            <a:endParaRPr lang="en-US"/>
          </a:p>
        </c:txPr>
        <c:crossAx val="113015808"/>
        <c:crosses val="autoZero"/>
        <c:auto val="1"/>
        <c:lblAlgn val="ctr"/>
        <c:lblOffset val="100"/>
      </c:catAx>
      <c:valAx>
        <c:axId val="113015808"/>
        <c:scaling>
          <c:orientation val="minMax"/>
        </c:scaling>
        <c:delete val="1"/>
        <c:axPos val="l"/>
        <c:numFmt formatCode="#,##0.0;[Red]#,##0.0" sourceLinked="1"/>
        <c:majorTickMark val="none"/>
        <c:tickLblPos val="nextTo"/>
        <c:crossAx val="113014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490748303764969"/>
          <c:y val="0"/>
          <c:w val="0.41018481610960489"/>
          <c:h val="6.7172640209271509E-2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'հարկեր 2'!$B$1</c:f>
              <c:strCache>
                <c:ptCount val="1"/>
                <c:pt idx="0">
                  <c:v>2014թ.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2'!$B$2:$B$6</c:f>
              <c:numCache>
                <c:formatCode>#,##0.0;[Red]#,##0.0</c:formatCode>
                <c:ptCount val="5"/>
                <c:pt idx="0">
                  <c:v>7.6</c:v>
                </c:pt>
                <c:pt idx="1">
                  <c:v>5.2</c:v>
                </c:pt>
                <c:pt idx="2">
                  <c:v>0</c:v>
                </c:pt>
                <c:pt idx="3">
                  <c:v>6.7</c:v>
                </c:pt>
                <c:pt idx="4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'հարկեր 2'!$C$1</c:f>
              <c:strCache>
                <c:ptCount val="1"/>
                <c:pt idx="0">
                  <c:v>2015թ. 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2'!$C$2:$C$6</c:f>
              <c:numCache>
                <c:formatCode>#,##0.0;[Red]#,##0.0</c:formatCode>
                <c:ptCount val="5"/>
                <c:pt idx="0">
                  <c:v>6.5</c:v>
                </c:pt>
                <c:pt idx="1">
                  <c:v>3.7</c:v>
                </c:pt>
                <c:pt idx="2">
                  <c:v>3.1</c:v>
                </c:pt>
                <c:pt idx="3">
                  <c:v>8.1</c:v>
                </c:pt>
                <c:pt idx="4">
                  <c:v>9.1</c:v>
                </c:pt>
              </c:numCache>
            </c:numRef>
          </c:val>
        </c:ser>
        <c:ser>
          <c:idx val="2"/>
          <c:order val="2"/>
          <c:tx>
            <c:strRef>
              <c:f>'հարկեր 2'!$D$1</c:f>
              <c:strCache>
                <c:ptCount val="1"/>
                <c:pt idx="0">
                  <c:v>2016թ.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2'!$D$2:$D$6</c:f>
              <c:numCache>
                <c:formatCode>#,##0.0;[Red]#,##0.0</c:formatCode>
                <c:ptCount val="5"/>
                <c:pt idx="0">
                  <c:v>7.8</c:v>
                </c:pt>
                <c:pt idx="1">
                  <c:v>4.9000000000000004</c:v>
                </c:pt>
                <c:pt idx="2">
                  <c:v>3.8</c:v>
                </c:pt>
                <c:pt idx="3">
                  <c:v>8.9</c:v>
                </c:pt>
                <c:pt idx="4">
                  <c:v>9.2000000000000011</c:v>
                </c:pt>
              </c:numCache>
            </c:numRef>
          </c:val>
        </c:ser>
        <c:ser>
          <c:idx val="3"/>
          <c:order val="3"/>
          <c:tx>
            <c:strRef>
              <c:f>'հարկեր 2'!$E$1</c:f>
              <c:strCache>
                <c:ptCount val="1"/>
                <c:pt idx="0">
                  <c:v>2017թ.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'հարկեր 2'!$A$2:$A$6</c:f>
              <c:strCache>
                <c:ptCount val="5"/>
                <c:pt idx="0">
                  <c:v>Բնօգտագործման եվ բնապահպանական վճարներ</c:v>
                </c:pt>
                <c:pt idx="1">
                  <c:v>Շրջանառության հարկ</c:v>
                </c:pt>
                <c:pt idx="2">
                  <c:v>Նպատակային սոցիալական վճարներ</c:v>
                </c:pt>
                <c:pt idx="3">
                  <c:v>Այլ հարկային եկամուտներ</c:v>
                </c:pt>
                <c:pt idx="4">
                  <c:v>Պետական տուրքեր</c:v>
                </c:pt>
              </c:strCache>
            </c:strRef>
          </c:cat>
          <c:val>
            <c:numRef>
              <c:f>'հարկեր 2'!$E$2:$E$6</c:f>
              <c:numCache>
                <c:formatCode>#,##0.0;[Red]#,##0.0</c:formatCode>
                <c:ptCount val="5"/>
                <c:pt idx="0">
                  <c:v>15.6</c:v>
                </c:pt>
                <c:pt idx="1">
                  <c:v>5.8</c:v>
                </c:pt>
                <c:pt idx="2">
                  <c:v>4.5</c:v>
                </c:pt>
                <c:pt idx="3">
                  <c:v>8.5</c:v>
                </c:pt>
                <c:pt idx="4">
                  <c:v>9</c:v>
                </c:pt>
              </c:numCache>
            </c:numRef>
          </c:val>
        </c:ser>
        <c:dLbls>
          <c:showVal val="1"/>
        </c:dLbls>
        <c:overlap val="-25"/>
        <c:axId val="113047808"/>
        <c:axId val="113078272"/>
      </c:barChart>
      <c:catAx>
        <c:axId val="113047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>
                <a:latin typeface="GHEA Grapalat" pitchFamily="50" charset="0"/>
              </a:defRPr>
            </a:pPr>
            <a:endParaRPr lang="en-US"/>
          </a:p>
        </c:txPr>
        <c:crossAx val="113078272"/>
        <c:crosses val="autoZero"/>
        <c:auto val="1"/>
        <c:lblAlgn val="ctr"/>
        <c:lblOffset val="100"/>
      </c:catAx>
      <c:valAx>
        <c:axId val="113078272"/>
        <c:scaling>
          <c:orientation val="minMax"/>
        </c:scaling>
        <c:delete val="1"/>
        <c:axPos val="l"/>
        <c:numFmt formatCode="#,##0.0;[Red]#,##0.0" sourceLinked="1"/>
        <c:tickLblPos val="nextTo"/>
        <c:crossAx val="1130478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440073469941536"/>
          <c:y val="1.7039403620873271E-2"/>
          <c:w val="0.41649984606794932"/>
          <c:h val="6.5180079327144813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'[april - Ekamutner - գծապատկերներ.xls]Sheet3'!$A$2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'[april - Ekamutner - գծապատկերներ.xls]Sheet3'!$B$1:$E$1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'[april - Ekamutner - գծապատկերներ.xls]Sheet3'!$B$2:$E$2</c:f>
              <c:numCache>
                <c:formatCode>#,##0.0;[Red]#,##0.0</c:formatCode>
                <c:ptCount val="4"/>
                <c:pt idx="0">
                  <c:v>0.5</c:v>
                </c:pt>
                <c:pt idx="1">
                  <c:v>0.5</c:v>
                </c:pt>
                <c:pt idx="2">
                  <c:v>2.2000000000000002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'[april - Ekamutner - գծապատկերներ.xls]Sheet3'!$A$3</c:f>
              <c:strCache>
                <c:ptCount val="1"/>
                <c:pt idx="0">
                  <c:v>ԱՅԼ ԵԿԱՄՈՒՏՆԵՐ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'[april - Ekamutner - գծապատկերներ.xls]Sheet3'!$B$1:$E$1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'[april - Ekamutner - գծապատկերներ.xls]Sheet3'!$B$3:$E$3</c:f>
              <c:numCache>
                <c:formatCode>#,##0.0;[Red]#,##0.0</c:formatCode>
                <c:ptCount val="4"/>
                <c:pt idx="0">
                  <c:v>20.399999999999999</c:v>
                </c:pt>
                <c:pt idx="1">
                  <c:v>19.8</c:v>
                </c:pt>
                <c:pt idx="2">
                  <c:v>15.1</c:v>
                </c:pt>
                <c:pt idx="3">
                  <c:v>16.8</c:v>
                </c:pt>
              </c:numCache>
            </c:numRef>
          </c:val>
        </c:ser>
        <c:ser>
          <c:idx val="2"/>
          <c:order val="2"/>
          <c:tx>
            <c:strRef>
              <c:f>'[april - Ekamutner - գծապատկերներ.xls]Sheet3'!$A$4</c:f>
              <c:strCache>
                <c:ptCount val="1"/>
                <c:pt idx="0">
                  <c:v>ԱՐՏԱԲՅՈՒՋԵՏԱՅԻՆ ՄԻՋՈՑՆԵՐ-ԸՆԴԱՄԵՆԸ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'[april - Ekamutner - գծապատկերներ.xls]Sheet3'!$B$1:$E$1</c:f>
              <c:strCache>
                <c:ptCount val="4"/>
                <c:pt idx="0">
                  <c:v>2014թ.</c:v>
                </c:pt>
                <c:pt idx="1">
                  <c:v>2015թ.  </c:v>
                </c:pt>
                <c:pt idx="2">
                  <c:v>2016թ. </c:v>
                </c:pt>
                <c:pt idx="3">
                  <c:v>2017թ. </c:v>
                </c:pt>
              </c:strCache>
            </c:strRef>
          </c:cat>
          <c:val>
            <c:numRef>
              <c:f>'[april - Ekamutner - գծապատկերներ.xls]Sheet3'!$B$4:$E$4</c:f>
              <c:numCache>
                <c:formatCode>0.00_);\(0.00\)</c:formatCode>
                <c:ptCount val="4"/>
                <c:pt idx="0">
                  <c:v>9.2000000000000011</c:v>
                </c:pt>
                <c:pt idx="1">
                  <c:v>8.9</c:v>
                </c:pt>
                <c:pt idx="2">
                  <c:v>8</c:v>
                </c:pt>
                <c:pt idx="3">
                  <c:v>8.7000000000000011</c:v>
                </c:pt>
              </c:numCache>
            </c:numRef>
          </c:val>
        </c:ser>
        <c:dLbls>
          <c:showVal val="1"/>
        </c:dLbls>
        <c:overlap val="-25"/>
        <c:axId val="113252608"/>
        <c:axId val="117370880"/>
      </c:barChart>
      <c:catAx>
        <c:axId val="113252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17370880"/>
        <c:crosses val="autoZero"/>
        <c:auto val="1"/>
        <c:lblAlgn val="ctr"/>
        <c:lblOffset val="100"/>
      </c:catAx>
      <c:valAx>
        <c:axId val="117370880"/>
        <c:scaling>
          <c:orientation val="minMax"/>
        </c:scaling>
        <c:delete val="1"/>
        <c:axPos val="l"/>
        <c:numFmt formatCode="#,##0.0;[Red]#,##0.0" sourceLinked="1"/>
        <c:tickLblPos val="nextTo"/>
        <c:crossAx val="113252608"/>
        <c:crosses val="autoZero"/>
        <c:crossBetween val="between"/>
      </c:valAx>
    </c:plotArea>
    <c:legend>
      <c:legendPos val="t"/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FinComm Expert2</cp:lastModifiedBy>
  <cp:revision>4</cp:revision>
  <dcterms:created xsi:type="dcterms:W3CDTF">2017-06-06T08:59:00Z</dcterms:created>
  <dcterms:modified xsi:type="dcterms:W3CDTF">2017-06-06T09:05:00Z</dcterms:modified>
</cp:coreProperties>
</file>