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6B" w:rsidRPr="002F2A59" w:rsidRDefault="002F2A59" w:rsidP="002F2A59">
      <w:pPr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r w:rsidRPr="002F2A59">
        <w:rPr>
          <w:rFonts w:ascii="GHEA Grapalat" w:hAnsi="GHEA Grapalat" w:cs="Sylfaen"/>
          <w:b/>
          <w:sz w:val="28"/>
          <w:szCs w:val="28"/>
        </w:rPr>
        <w:t>ՏԵՂԵԿԱՆՔ</w:t>
      </w:r>
    </w:p>
    <w:p w:rsidR="002F2A59" w:rsidRDefault="005403D8" w:rsidP="002F2A59">
      <w:pPr>
        <w:ind w:left="-360" w:firstLine="360"/>
        <w:jc w:val="center"/>
        <w:rPr>
          <w:rFonts w:ascii="GHEA Grapalat" w:hAnsi="GHEA Grapalat" w:cs="Sylfaen"/>
          <w:sz w:val="24"/>
          <w:szCs w:val="24"/>
        </w:rPr>
      </w:pPr>
      <w:r w:rsidRPr="005403D8">
        <w:rPr>
          <w:rFonts w:ascii="GHEA Grapalat" w:hAnsi="GHEA Grapalat" w:cs="Sylfaen"/>
          <w:sz w:val="24"/>
          <w:szCs w:val="24"/>
        </w:rPr>
        <w:t>2014-2016թթ. Հայաստանի Հանրապետության պետական պարտքի վերաբերյալ (</w:t>
      </w:r>
      <w:r w:rsidR="008D75B0">
        <w:rPr>
          <w:rFonts w:ascii="GHEA Grapalat" w:hAnsi="GHEA Grapalat" w:cs="Sylfaen"/>
          <w:sz w:val="24"/>
          <w:szCs w:val="24"/>
        </w:rPr>
        <w:t>նոյեմբեր</w:t>
      </w:r>
      <w:r w:rsidRPr="005403D8">
        <w:rPr>
          <w:rFonts w:ascii="GHEA Grapalat" w:hAnsi="GHEA Grapalat" w:cs="Sylfaen"/>
          <w:sz w:val="24"/>
          <w:szCs w:val="24"/>
        </w:rPr>
        <w:t xml:space="preserve"> ամսվա վերջի դրությամբ)</w:t>
      </w:r>
      <w:r w:rsidR="00697E19">
        <w:rPr>
          <w:rFonts w:ascii="GHEA Grapalat" w:hAnsi="GHEA Grapalat"/>
          <w:sz w:val="24"/>
          <w:szCs w:val="24"/>
        </w:rPr>
        <w:t>`</w:t>
      </w:r>
      <w:r w:rsidR="00274F9A" w:rsidRPr="00274F9A">
        <w:rPr>
          <w:rFonts w:ascii="GHEA Grapalat" w:hAnsi="GHEA Grapalat"/>
          <w:sz w:val="24"/>
          <w:szCs w:val="24"/>
        </w:rPr>
        <w:t xml:space="preserve"> </w:t>
      </w:r>
      <w:r w:rsidR="00274F9A" w:rsidRPr="00274F9A">
        <w:rPr>
          <w:rFonts w:ascii="GHEA Grapalat" w:hAnsi="GHEA Grapalat" w:cs="Sylfaen"/>
          <w:sz w:val="24"/>
          <w:szCs w:val="24"/>
        </w:rPr>
        <w:t>գծապատկերներով</w:t>
      </w:r>
    </w:p>
    <w:p w:rsidR="00AC2D9E" w:rsidRDefault="008D75B0" w:rsidP="00AC2D9E">
      <w:pPr>
        <w:ind w:left="-360" w:firstLine="360"/>
        <w:rPr>
          <w:rFonts w:ascii="GHEA Grapalat" w:hAnsi="GHEA Grapalat" w:cs="Sylfaen"/>
          <w:sz w:val="24"/>
          <w:szCs w:val="24"/>
        </w:rPr>
      </w:pPr>
      <w:r w:rsidRPr="008D75B0">
        <w:rPr>
          <w:rFonts w:ascii="GHEA Grapalat" w:hAnsi="GHEA Grapalat" w:cs="Sylfaen"/>
          <w:sz w:val="24"/>
          <w:szCs w:val="24"/>
        </w:rPr>
        <w:drawing>
          <wp:inline distT="0" distB="0" distL="0" distR="0">
            <wp:extent cx="4587455" cy="2743200"/>
            <wp:effectExtent l="19050" t="0" r="22645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8D75B0">
        <w:rPr>
          <w:rFonts w:ascii="GHEA Grapalat" w:hAnsi="GHEA Grapalat" w:cs="Sylfaen"/>
          <w:sz w:val="24"/>
          <w:szCs w:val="24"/>
        </w:rPr>
        <w:drawing>
          <wp:inline distT="0" distB="0" distL="0" distR="0">
            <wp:extent cx="4551153" cy="2777705"/>
            <wp:effectExtent l="19050" t="0" r="20847" b="3595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C2FD5" w:rsidRDefault="008D75B0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8D75B0">
        <w:rPr>
          <w:rFonts w:ascii="GHEA Grapalat" w:hAnsi="GHEA Grapalat"/>
          <w:sz w:val="24"/>
          <w:szCs w:val="24"/>
        </w:rPr>
        <w:drawing>
          <wp:inline distT="0" distB="0" distL="0" distR="0">
            <wp:extent cx="4591110" cy="2743200"/>
            <wp:effectExtent l="19050" t="0" r="18990" b="0"/>
            <wp:docPr id="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8D75B0">
        <w:rPr>
          <w:rFonts w:ascii="GHEA Grapalat" w:hAnsi="GHEA Grapalat"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8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8C2FD5" w:rsidSect="00455B1D">
      <w:pgSz w:w="15840" w:h="12240" w:orient="landscape"/>
      <w:pgMar w:top="810" w:right="270" w:bottom="63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FAF" w:rsidRDefault="00440FAF" w:rsidP="00AC2D9E">
      <w:pPr>
        <w:spacing w:after="0" w:line="240" w:lineRule="auto"/>
      </w:pPr>
      <w:r>
        <w:separator/>
      </w:r>
    </w:p>
  </w:endnote>
  <w:endnote w:type="continuationSeparator" w:id="1">
    <w:p w:rsidR="00440FAF" w:rsidRDefault="00440FAF" w:rsidP="00A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FAF" w:rsidRDefault="00440FAF" w:rsidP="00AC2D9E">
      <w:pPr>
        <w:spacing w:after="0" w:line="240" w:lineRule="auto"/>
      </w:pPr>
      <w:r>
        <w:separator/>
      </w:r>
    </w:p>
  </w:footnote>
  <w:footnote w:type="continuationSeparator" w:id="1">
    <w:p w:rsidR="00440FAF" w:rsidRDefault="00440FAF" w:rsidP="00AC2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A59"/>
    <w:rsid w:val="000675D6"/>
    <w:rsid w:val="000C120D"/>
    <w:rsid w:val="0019787B"/>
    <w:rsid w:val="00262AB4"/>
    <w:rsid w:val="00270CA5"/>
    <w:rsid w:val="00274F9A"/>
    <w:rsid w:val="002A0970"/>
    <w:rsid w:val="002E2575"/>
    <w:rsid w:val="002F2A59"/>
    <w:rsid w:val="00304E24"/>
    <w:rsid w:val="003670A8"/>
    <w:rsid w:val="003D5370"/>
    <w:rsid w:val="00440FAF"/>
    <w:rsid w:val="00455B1D"/>
    <w:rsid w:val="00461DE6"/>
    <w:rsid w:val="004B3A6B"/>
    <w:rsid w:val="00513FFD"/>
    <w:rsid w:val="005403D8"/>
    <w:rsid w:val="005B1A4E"/>
    <w:rsid w:val="005C63AF"/>
    <w:rsid w:val="006204FF"/>
    <w:rsid w:val="00672C70"/>
    <w:rsid w:val="00697E19"/>
    <w:rsid w:val="006A61EA"/>
    <w:rsid w:val="00795E20"/>
    <w:rsid w:val="007A7000"/>
    <w:rsid w:val="007D095A"/>
    <w:rsid w:val="0081180D"/>
    <w:rsid w:val="00811EF3"/>
    <w:rsid w:val="00841547"/>
    <w:rsid w:val="00867138"/>
    <w:rsid w:val="008A5AC2"/>
    <w:rsid w:val="008C2FD5"/>
    <w:rsid w:val="008C5278"/>
    <w:rsid w:val="008D75B0"/>
    <w:rsid w:val="00923985"/>
    <w:rsid w:val="00934D90"/>
    <w:rsid w:val="00A124D7"/>
    <w:rsid w:val="00A36CD4"/>
    <w:rsid w:val="00AC2D9E"/>
    <w:rsid w:val="00B00B2A"/>
    <w:rsid w:val="00B55DF2"/>
    <w:rsid w:val="00C017E6"/>
    <w:rsid w:val="00D50656"/>
    <w:rsid w:val="00DB46EB"/>
    <w:rsid w:val="00E0173A"/>
    <w:rsid w:val="00E305FB"/>
    <w:rsid w:val="00E311F1"/>
    <w:rsid w:val="00E572E5"/>
    <w:rsid w:val="00E7138C"/>
    <w:rsid w:val="00EC11CC"/>
    <w:rsid w:val="00F40D2C"/>
    <w:rsid w:val="00FD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D9E"/>
  </w:style>
  <w:style w:type="paragraph" w:styleId="Footer">
    <w:name w:val="footer"/>
    <w:basedOn w:val="Normal"/>
    <w:link w:val="Foot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novamber\Booknov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novamber\Booknov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novamber\Booknov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novamber\Booknov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900" b="1" i="0" u="none" strike="noStrike" baseline="0">
                <a:latin typeface="GHEA Grapalat" pitchFamily="50" charset="0"/>
              </a:rPr>
              <a:t>ՀՀ պետական պարտքը, ՀՀ կառավարության պարտքը և ՀՀ կենտրոնական բանկի արտաքին պարտքը 2014-16թթ. (նոյեմբեր ամսվա վերջի դրությամբ, մլրդ դրամ)</a:t>
            </a:r>
            <a:endParaRPr lang="en-US" sz="9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4020889578208401"/>
          <c:y val="0.25903944298629328"/>
          <c:w val="0.55448979881001559"/>
          <c:h val="0.61551326917468652"/>
        </c:manualLayout>
      </c:layout>
      <c:lineChart>
        <c:grouping val="standard"/>
        <c:ser>
          <c:idx val="0"/>
          <c:order val="0"/>
          <c:tx>
            <c:strRef>
              <c:f>Sheet1!$A$4</c:f>
              <c:strCache>
                <c:ptCount val="1"/>
                <c:pt idx="0">
                  <c:v>ՀՀ պետական պարտք</c:v>
                </c:pt>
              </c:strCache>
            </c:strRef>
          </c:tx>
          <c:dLbls>
            <c:dLbl>
              <c:idx val="0"/>
              <c:layout>
                <c:manualLayout>
                  <c:x val="-7.4747327221738449E-2"/>
                  <c:y val="-4.1666666666666664E-2"/>
                </c:manualLayout>
              </c:layout>
              <c:showVal val="1"/>
            </c:dLbl>
            <c:dLbl>
              <c:idx val="1"/>
              <c:layout>
                <c:manualLayout>
                  <c:x val="-8.5821005328662658E-2"/>
                  <c:y val="-4.6296296296296315E-2"/>
                </c:manualLayout>
              </c:layout>
              <c:showVal val="1"/>
            </c:dLbl>
            <c:dLbl>
              <c:idx val="2"/>
              <c:layout>
                <c:manualLayout>
                  <c:x val="-7.1978907695007366E-2"/>
                  <c:y val="-4.6296296296296363E-2"/>
                </c:manualLayout>
              </c:layout>
              <c:showVal val="1"/>
            </c:dLbl>
            <c:dLbl>
              <c:idx val="3"/>
              <c:layout>
                <c:manualLayout>
                  <c:x val="-6.9210488168276324E-2"/>
                  <c:y val="-3.703703703703704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Sheet1!$B$3:$E$3</c:f>
              <c:strCache>
                <c:ptCount val="4"/>
                <c:pt idx="0">
                  <c:v>30.11.2014</c:v>
                </c:pt>
                <c:pt idx="1">
                  <c:v>30.11.2015</c:v>
                </c:pt>
                <c:pt idx="2">
                  <c:v>31.12.2015</c:v>
                </c:pt>
                <c:pt idx="3">
                  <c:v>30.11.2016</c:v>
                </c:pt>
              </c:strCache>
            </c:strRef>
          </c:cat>
          <c:val>
            <c:numRef>
              <c:f>Sheet1!$B$4:$E$4</c:f>
              <c:numCache>
                <c:formatCode>#,##0.0</c:formatCode>
                <c:ptCount val="4"/>
                <c:pt idx="0">
                  <c:v>1914.6</c:v>
                </c:pt>
                <c:pt idx="1">
                  <c:v>2319.6999999999998</c:v>
                </c:pt>
                <c:pt idx="2" formatCode="#,##0.0;[Red]#,##0.0">
                  <c:v>2456.3000000000002</c:v>
                </c:pt>
                <c:pt idx="3">
                  <c:v>2686.8</c:v>
                </c:pt>
              </c:numCache>
            </c:numRef>
          </c:val>
        </c:ser>
        <c:ser>
          <c:idx val="1"/>
          <c:order val="1"/>
          <c:tx>
            <c:strRef>
              <c:f>Sheet1!$A$5</c:f>
              <c:strCache>
                <c:ptCount val="1"/>
                <c:pt idx="0">
                  <c:v>ՀՀ կառավարության պարտք</c:v>
                </c:pt>
              </c:strCache>
            </c:strRef>
          </c:tx>
          <c:dLbls>
            <c:dLbl>
              <c:idx val="0"/>
              <c:layout>
                <c:manualLayout>
                  <c:x val="-5.259997100789001E-2"/>
                  <c:y val="4.6296296296296315E-2"/>
                </c:manualLayout>
              </c:layout>
              <c:showVal val="1"/>
            </c:dLbl>
            <c:dLbl>
              <c:idx val="1"/>
              <c:layout>
                <c:manualLayout>
                  <c:x val="-6.0905229588083101E-2"/>
                  <c:y val="5.5555555555555525E-2"/>
                </c:manualLayout>
              </c:layout>
              <c:showVal val="1"/>
            </c:dLbl>
            <c:dLbl>
              <c:idx val="2"/>
              <c:layout>
                <c:manualLayout>
                  <c:x val="-5.5368390534621087E-2"/>
                  <c:y val="6.0185185185185161E-2"/>
                </c:manualLayout>
              </c:layout>
              <c:showVal val="1"/>
            </c:dLbl>
            <c:dLbl>
              <c:idx val="3"/>
              <c:layout>
                <c:manualLayout>
                  <c:x val="-8.0284166275200547E-2"/>
                  <c:y val="6.481481481481483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Sheet1!$B$3:$E$3</c:f>
              <c:strCache>
                <c:ptCount val="4"/>
                <c:pt idx="0">
                  <c:v>30.11.2014</c:v>
                </c:pt>
                <c:pt idx="1">
                  <c:v>30.11.2015</c:v>
                </c:pt>
                <c:pt idx="2">
                  <c:v>31.12.2015</c:v>
                </c:pt>
                <c:pt idx="3">
                  <c:v>30.11.2016</c:v>
                </c:pt>
              </c:strCache>
            </c:strRef>
          </c:cat>
          <c:val>
            <c:numRef>
              <c:f>Sheet1!$B$5:$E$5</c:f>
              <c:numCache>
                <c:formatCode>#,##0.0</c:formatCode>
                <c:ptCount val="4"/>
                <c:pt idx="0">
                  <c:v>1724.2</c:v>
                </c:pt>
                <c:pt idx="1">
                  <c:v>2086.9</c:v>
                </c:pt>
                <c:pt idx="2" formatCode="#,##0.0;[Red]#,##0.0">
                  <c:v>2225.9</c:v>
                </c:pt>
                <c:pt idx="3">
                  <c:v>2447.8000000000002</c:v>
                </c:pt>
              </c:numCache>
            </c:numRef>
          </c:val>
        </c:ser>
        <c:ser>
          <c:idx val="2"/>
          <c:order val="2"/>
          <c:tx>
            <c:strRef>
              <c:f>Sheet1!$A$6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4.429471242769685E-2"/>
                  <c:y val="-4.1666666666666664E-2"/>
                </c:manualLayout>
              </c:layout>
              <c:showVal val="1"/>
            </c:dLbl>
            <c:dLbl>
              <c:idx val="1"/>
              <c:layout>
                <c:manualLayout>
                  <c:x val="-5.8136810061352046E-2"/>
                  <c:y val="-3.7037037037037049E-2"/>
                </c:manualLayout>
              </c:layout>
              <c:showVal val="1"/>
            </c:dLbl>
            <c:dLbl>
              <c:idx val="2"/>
              <c:layout>
                <c:manualLayout>
                  <c:x val="-5.259997100789001E-2"/>
                  <c:y val="-3.7037037037037049E-2"/>
                </c:manualLayout>
              </c:layout>
              <c:showVal val="1"/>
            </c:dLbl>
            <c:dLbl>
              <c:idx val="3"/>
              <c:layout>
                <c:manualLayout>
                  <c:x val="-5.8136810061352087E-2"/>
                  <c:y val="-4.62962962962963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239.0</a:t>
                    </a:r>
                  </a:p>
                </c:rich>
              </c:tx>
              <c:showVal val="1"/>
            </c:dLbl>
            <c:showVal val="1"/>
          </c:dLbls>
          <c:cat>
            <c:strRef>
              <c:f>Sheet1!$B$3:$E$3</c:f>
              <c:strCache>
                <c:ptCount val="4"/>
                <c:pt idx="0">
                  <c:v>30.11.2014</c:v>
                </c:pt>
                <c:pt idx="1">
                  <c:v>30.11.2015</c:v>
                </c:pt>
                <c:pt idx="2">
                  <c:v>31.12.2015</c:v>
                </c:pt>
                <c:pt idx="3">
                  <c:v>30.11.2016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190.4</c:v>
                </c:pt>
                <c:pt idx="1">
                  <c:v>232.8</c:v>
                </c:pt>
                <c:pt idx="2" formatCode="0.0;[Red]0.0">
                  <c:v>230.4</c:v>
                </c:pt>
                <c:pt idx="3">
                  <c:v>239</c:v>
                </c:pt>
              </c:numCache>
            </c:numRef>
          </c:val>
        </c:ser>
        <c:dLbls>
          <c:showVal val="1"/>
        </c:dLbls>
        <c:marker val="1"/>
        <c:axId val="121716736"/>
        <c:axId val="124948480"/>
      </c:lineChart>
      <c:catAx>
        <c:axId val="12171673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124948480"/>
        <c:crosses val="autoZero"/>
        <c:auto val="1"/>
        <c:lblAlgn val="ctr"/>
        <c:lblOffset val="100"/>
      </c:catAx>
      <c:valAx>
        <c:axId val="124948480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crossAx val="121716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611058855073238"/>
          <c:y val="0.24732866724992708"/>
          <c:w val="0.28727889428888143"/>
          <c:h val="0.69446267133274986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900" b="1" i="0" baseline="0">
                <a:latin typeface="GHEA Grapalat" pitchFamily="50" charset="0"/>
              </a:rPr>
              <a:t>ՀՀ պետական պարտքը, ՀՀ կառավարության պարտքը և ՀՀ կենտրոնական բանկի արտաքին պարտքը 2014-16թթ. (նոյեմբեր ամսվա վերջի դրությամբ, մլն ԱՄՆ դոլար)</a:t>
            </a:r>
          </a:p>
        </c:rich>
      </c:tx>
    </c:title>
    <c:plotArea>
      <c:layout>
        <c:manualLayout>
          <c:layoutTarget val="inner"/>
          <c:xMode val="edge"/>
          <c:yMode val="edge"/>
          <c:x val="0.1413272636626367"/>
          <c:y val="0.2558216225265102"/>
          <c:w val="0.55372671496651504"/>
          <c:h val="0.62028941158258388"/>
        </c:manualLayout>
      </c:layout>
      <c:lineChart>
        <c:grouping val="standard"/>
        <c:ser>
          <c:idx val="0"/>
          <c:order val="0"/>
          <c:tx>
            <c:strRef>
              <c:f>Sheet1!$A$26</c:f>
              <c:strCache>
                <c:ptCount val="1"/>
                <c:pt idx="0">
                  <c:v>ՀՀ պետական պարտք</c:v>
                </c:pt>
              </c:strCache>
            </c:strRef>
          </c:tx>
          <c:dLbls>
            <c:dLbl>
              <c:idx val="0"/>
              <c:layout>
                <c:manualLayout>
                  <c:x val="-5.8600534853475571E-2"/>
                  <c:y val="-4.1149078105846365E-2"/>
                </c:manualLayout>
              </c:layout>
              <c:showVal val="1"/>
            </c:dLbl>
            <c:dLbl>
              <c:idx val="1"/>
              <c:layout>
                <c:manualLayout>
                  <c:x val="-6.9762541492232863E-2"/>
                  <c:y val="-4.5721197895384862E-2"/>
                </c:manualLayout>
              </c:layout>
              <c:showVal val="1"/>
            </c:dLbl>
            <c:dLbl>
              <c:idx val="2"/>
              <c:layout>
                <c:manualLayout>
                  <c:x val="-8.9296053110058018E-2"/>
                  <c:y val="-3.6576958316307889E-2"/>
                </c:manualLayout>
              </c:layout>
              <c:showVal val="1"/>
            </c:dLbl>
            <c:dLbl>
              <c:idx val="3"/>
              <c:layout>
                <c:manualLayout>
                  <c:x val="-0.10882956472788324"/>
                  <c:y val="-2.286059894769242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Sheet1!$B$25:$E$25</c:f>
              <c:strCache>
                <c:ptCount val="4"/>
                <c:pt idx="0">
                  <c:v>30.11.2014</c:v>
                </c:pt>
                <c:pt idx="1">
                  <c:v>30.11.2015</c:v>
                </c:pt>
                <c:pt idx="2">
                  <c:v>31.12.2015</c:v>
                </c:pt>
                <c:pt idx="3">
                  <c:v>30.11.2016</c:v>
                </c:pt>
              </c:strCache>
            </c:strRef>
          </c:cat>
          <c:val>
            <c:numRef>
              <c:f>Sheet1!$B$26:$E$26</c:f>
              <c:numCache>
                <c:formatCode>#,##0.0</c:formatCode>
                <c:ptCount val="4"/>
                <c:pt idx="0">
                  <c:v>4414.7</c:v>
                </c:pt>
                <c:pt idx="1">
                  <c:v>4813.4000000000005</c:v>
                </c:pt>
                <c:pt idx="2" formatCode="#,##0.0;[Red]#,##0.0">
                  <c:v>5077.7</c:v>
                </c:pt>
                <c:pt idx="3">
                  <c:v>5596.3</c:v>
                </c:pt>
              </c:numCache>
            </c:numRef>
          </c:val>
        </c:ser>
        <c:ser>
          <c:idx val="1"/>
          <c:order val="1"/>
          <c:tx>
            <c:strRef>
              <c:f>Sheet1!$A$27</c:f>
              <c:strCache>
                <c:ptCount val="1"/>
                <c:pt idx="0">
                  <c:v>ՀՀ կառավարության պարտք</c:v>
                </c:pt>
              </c:strCache>
            </c:strRef>
          </c:tx>
          <c:dLbls>
            <c:dLbl>
              <c:idx val="0"/>
              <c:layout>
                <c:manualLayout>
                  <c:x val="-6.9762541492232835E-2"/>
                  <c:y val="4.5721197895384862E-2"/>
                </c:manualLayout>
              </c:layout>
              <c:showVal val="1"/>
            </c:dLbl>
            <c:dLbl>
              <c:idx val="1"/>
              <c:layout>
                <c:manualLayout>
                  <c:x val="-5.8600534853475598E-2"/>
                  <c:y val="5.4865437474461841E-2"/>
                </c:manualLayout>
              </c:layout>
              <c:showVal val="1"/>
            </c:dLbl>
            <c:dLbl>
              <c:idx val="2"/>
              <c:layout>
                <c:manualLayout>
                  <c:x val="-5.8600534853475557E-2"/>
                  <c:y val="4.1149078105846365E-2"/>
                </c:manualLayout>
              </c:layout>
              <c:showVal val="1"/>
            </c:dLbl>
            <c:dLbl>
              <c:idx val="3"/>
              <c:layout>
                <c:manualLayout>
                  <c:x val="-8.0924548130990148E-2"/>
                  <c:y val="5.486543747446184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Sheet1!$B$25:$E$25</c:f>
              <c:strCache>
                <c:ptCount val="4"/>
                <c:pt idx="0">
                  <c:v>30.11.2014</c:v>
                </c:pt>
                <c:pt idx="1">
                  <c:v>30.11.2015</c:v>
                </c:pt>
                <c:pt idx="2">
                  <c:v>31.12.2015</c:v>
                </c:pt>
                <c:pt idx="3">
                  <c:v>30.11.2016</c:v>
                </c:pt>
              </c:strCache>
            </c:strRef>
          </c:cat>
          <c:val>
            <c:numRef>
              <c:f>Sheet1!$B$27:$E$27</c:f>
              <c:numCache>
                <c:formatCode>#,##0.0</c:formatCode>
                <c:ptCount val="4"/>
                <c:pt idx="0">
                  <c:v>3975.6</c:v>
                </c:pt>
                <c:pt idx="1">
                  <c:v>4330.4000000000005</c:v>
                </c:pt>
                <c:pt idx="2" formatCode="#,##0.0;[Red]#,##0.0">
                  <c:v>4601.4000000000005</c:v>
                </c:pt>
                <c:pt idx="3">
                  <c:v>5098.5</c:v>
                </c:pt>
              </c:numCache>
            </c:numRef>
          </c:val>
        </c:ser>
        <c:ser>
          <c:idx val="2"/>
          <c:order val="2"/>
          <c:tx>
            <c:strRef>
              <c:f>Sheet1!$A$28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7.2553043151922139E-2"/>
                  <c:y val="-3.6576958316307889E-2"/>
                </c:manualLayout>
              </c:layout>
              <c:showVal val="1"/>
            </c:dLbl>
            <c:dLbl>
              <c:idx val="1"/>
              <c:layout>
                <c:manualLayout>
                  <c:x val="-7.8134046471300789E-2"/>
                  <c:y val="-3.65769583163078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483.0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7.5343544811611443E-2"/>
                  <c:y val="-4.5721197895384862E-2"/>
                </c:manualLayout>
              </c:layout>
              <c:showVal val="1"/>
            </c:dLbl>
            <c:dLbl>
              <c:idx val="3"/>
              <c:layout>
                <c:manualLayout>
                  <c:x val="-6.9762541492232863E-2"/>
                  <c:y val="-3.6576958316307889E-2"/>
                </c:manualLayout>
              </c:layout>
              <c:showVal val="1"/>
            </c:dLbl>
            <c:showVal val="1"/>
          </c:dLbls>
          <c:cat>
            <c:strRef>
              <c:f>Sheet1!$B$25:$E$25</c:f>
              <c:strCache>
                <c:ptCount val="4"/>
                <c:pt idx="0">
                  <c:v>30.11.2014</c:v>
                </c:pt>
                <c:pt idx="1">
                  <c:v>30.11.2015</c:v>
                </c:pt>
                <c:pt idx="2">
                  <c:v>31.12.2015</c:v>
                </c:pt>
                <c:pt idx="3">
                  <c:v>30.11.2016</c:v>
                </c:pt>
              </c:strCache>
            </c:strRef>
          </c:cat>
          <c:val>
            <c:numRef>
              <c:f>Sheet1!$B$28:$E$28</c:f>
              <c:numCache>
                <c:formatCode>General</c:formatCode>
                <c:ptCount val="4"/>
                <c:pt idx="0" formatCode="0.0">
                  <c:v>439.1</c:v>
                </c:pt>
                <c:pt idx="1">
                  <c:v>483</c:v>
                </c:pt>
                <c:pt idx="2" formatCode="#,##0.0;[Red]#,##0.0">
                  <c:v>476.3</c:v>
                </c:pt>
                <c:pt idx="3" formatCode="0.0">
                  <c:v>497.8</c:v>
                </c:pt>
              </c:numCache>
            </c:numRef>
          </c:val>
        </c:ser>
        <c:dLbls>
          <c:showVal val="1"/>
        </c:dLbls>
        <c:marker val="1"/>
        <c:axId val="71486848"/>
        <c:axId val="71701632"/>
      </c:lineChart>
      <c:catAx>
        <c:axId val="7148684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71701632"/>
        <c:crosses val="autoZero"/>
        <c:auto val="1"/>
        <c:lblAlgn val="ctr"/>
        <c:lblOffset val="100"/>
      </c:catAx>
      <c:valAx>
        <c:axId val="71701632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crossAx val="71486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505397862915175"/>
          <c:y val="0.24670726373030988"/>
          <c:w val="0.28820301141271226"/>
          <c:h val="0.68421196635351866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900" b="1" i="0" baseline="0">
                <a:latin typeface="GHEA Grapalat" pitchFamily="50" charset="0"/>
              </a:rPr>
              <a:t>ՀՀ կառավարության արտաքին պարտքը և ՀՀ կենտրոնական բանկի արտաքին պարտքը 2014-16թթ. (նոյեմբեր ամսվա վերջի դրությամբ, մլրդ դրամ)</a:t>
            </a:r>
            <a:endParaRPr lang="en-US" sz="9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4009727495093779"/>
          <c:y val="0.25903944298629333"/>
          <c:w val="0.56351644809207357"/>
          <c:h val="0.61551326917468652"/>
        </c:manualLayout>
      </c:layout>
      <c:lineChart>
        <c:grouping val="standard"/>
        <c:ser>
          <c:idx val="0"/>
          <c:order val="0"/>
          <c:tx>
            <c:strRef>
              <c:f>Sheet1!$A$48</c:f>
              <c:strCache>
                <c:ptCount val="1"/>
                <c:pt idx="0">
                  <c:v>ՀՀ կառավարության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7.7454036169902277E-2"/>
                  <c:y val="-4.1666666666666664E-2"/>
                </c:manualLayout>
              </c:layout>
              <c:showVal val="1"/>
            </c:dLbl>
            <c:dLbl>
              <c:idx val="1"/>
              <c:layout>
                <c:manualLayout>
                  <c:x val="-9.9583760789874354E-2"/>
                  <c:y val="-3.7037037037037042E-2"/>
                </c:manualLayout>
              </c:layout>
              <c:showVal val="1"/>
            </c:dLbl>
            <c:dLbl>
              <c:idx val="2"/>
              <c:layout>
                <c:manualLayout>
                  <c:x val="-0.11618105425485346"/>
                  <c:y val="-1.8518518518518521E-2"/>
                </c:manualLayout>
              </c:layout>
              <c:showVal val="1"/>
            </c:dLbl>
            <c:dLbl>
              <c:idx val="3"/>
              <c:layout>
                <c:manualLayout>
                  <c:x val="-7.4687820592405765E-2"/>
                  <c:y val="-4.629629629629634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Sheet1!$B$47:$E$47</c:f>
              <c:strCache>
                <c:ptCount val="4"/>
                <c:pt idx="0">
                  <c:v>30.11.2014</c:v>
                </c:pt>
                <c:pt idx="1">
                  <c:v>30.11.2015</c:v>
                </c:pt>
                <c:pt idx="2">
                  <c:v>31.12.2015</c:v>
                </c:pt>
                <c:pt idx="3">
                  <c:v>30.11.2016</c:v>
                </c:pt>
              </c:strCache>
            </c:strRef>
          </c:cat>
          <c:val>
            <c:numRef>
              <c:f>Sheet1!$B$48:$E$48</c:f>
              <c:numCache>
                <c:formatCode>#,##0.0</c:formatCode>
                <c:ptCount val="4"/>
                <c:pt idx="0">
                  <c:v>1415.8</c:v>
                </c:pt>
                <c:pt idx="1">
                  <c:v>1724.7</c:v>
                </c:pt>
                <c:pt idx="2">
                  <c:v>1857.5</c:v>
                </c:pt>
                <c:pt idx="3">
                  <c:v>1919.1</c:v>
                </c:pt>
              </c:numCache>
            </c:numRef>
          </c:val>
        </c:ser>
        <c:ser>
          <c:idx val="1"/>
          <c:order val="1"/>
          <c:tx>
            <c:strRef>
              <c:f>Sheet1!$A$49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6.9155389437412756E-2"/>
                  <c:y val="-4.6296296296296224E-2"/>
                </c:manualLayout>
              </c:layout>
              <c:showVal val="1"/>
            </c:dLbl>
            <c:dLbl>
              <c:idx val="1"/>
              <c:layout>
                <c:manualLayout>
                  <c:x val="-7.7454036169902277E-2"/>
                  <c:y val="-4.6296296296296301E-2"/>
                </c:manualLayout>
              </c:layout>
              <c:showVal val="1"/>
            </c:dLbl>
            <c:dLbl>
              <c:idx val="2"/>
              <c:layout>
                <c:manualLayout>
                  <c:x val="-8.2986467324895341E-2"/>
                  <c:y val="-4.6296296296296301E-2"/>
                </c:manualLayout>
              </c:layout>
              <c:showVal val="1"/>
            </c:dLbl>
            <c:dLbl>
              <c:idx val="3"/>
              <c:layout>
                <c:manualLayout>
                  <c:x val="-8.2986467324895299E-2"/>
                  <c:y val="-4.629629629629630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Sheet1!$B$47:$E$47</c:f>
              <c:strCache>
                <c:ptCount val="4"/>
                <c:pt idx="0">
                  <c:v>30.11.2014</c:v>
                </c:pt>
                <c:pt idx="1">
                  <c:v>30.11.2015</c:v>
                </c:pt>
                <c:pt idx="2">
                  <c:v>31.12.2015</c:v>
                </c:pt>
                <c:pt idx="3">
                  <c:v>30.11.2016</c:v>
                </c:pt>
              </c:strCache>
            </c:strRef>
          </c:cat>
          <c:val>
            <c:numRef>
              <c:f>Sheet1!$B$49:$E$49</c:f>
              <c:numCache>
                <c:formatCode>General</c:formatCode>
                <c:ptCount val="4"/>
                <c:pt idx="0">
                  <c:v>190.4</c:v>
                </c:pt>
                <c:pt idx="1">
                  <c:v>232.8</c:v>
                </c:pt>
                <c:pt idx="2" formatCode="0.0;[Red]0.0">
                  <c:v>230.4</c:v>
                </c:pt>
                <c:pt idx="3" formatCode="0.0">
                  <c:v>239</c:v>
                </c:pt>
              </c:numCache>
            </c:numRef>
          </c:val>
        </c:ser>
        <c:dLbls>
          <c:showVal val="1"/>
        </c:dLbls>
        <c:marker val="1"/>
        <c:axId val="71825664"/>
        <c:axId val="124960768"/>
      </c:lineChart>
      <c:catAx>
        <c:axId val="7182566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124960768"/>
        <c:crosses val="autoZero"/>
        <c:auto val="1"/>
        <c:lblAlgn val="ctr"/>
        <c:lblOffset val="100"/>
      </c:catAx>
      <c:valAx>
        <c:axId val="124960768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crossAx val="71825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188494721320127"/>
          <c:y val="0.25967738407699031"/>
          <c:w val="0.28151775932181983"/>
          <c:h val="0.61883931175269768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900" b="1" i="0" baseline="0">
                <a:latin typeface="GHEA Grapalat" pitchFamily="50" charset="0"/>
              </a:rPr>
              <a:t>ՀՀ կառավարության արտաքին պարտքը և ՀՀ կենտրոնական բանկի արտաքին պարտքը 2014-16թթ. (նոյեմբեր ամսվա վերջի դրությամբ, մլն ԱՄՆ դոլար)</a:t>
            </a:r>
          </a:p>
        </c:rich>
      </c:tx>
    </c:title>
    <c:plotArea>
      <c:layout>
        <c:manualLayout>
          <c:layoutTarget val="inner"/>
          <c:xMode val="edge"/>
          <c:yMode val="edge"/>
          <c:x val="0.14068285214348206"/>
          <c:y val="0.25903944298629333"/>
          <c:w val="0.56446981627296589"/>
          <c:h val="0.61551326917468652"/>
        </c:manualLayout>
      </c:layout>
      <c:lineChart>
        <c:grouping val="standard"/>
        <c:ser>
          <c:idx val="0"/>
          <c:order val="0"/>
          <c:tx>
            <c:strRef>
              <c:f>Sheet1!$A$67</c:f>
              <c:strCache>
                <c:ptCount val="1"/>
                <c:pt idx="0">
                  <c:v>ՀՀ կառավարության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6.9444444444444461E-2"/>
                  <c:y val="-5.0925925925925923E-2"/>
                </c:manualLayout>
              </c:layout>
              <c:showVal val="1"/>
            </c:dLbl>
            <c:dLbl>
              <c:idx val="1"/>
              <c:layout>
                <c:manualLayout>
                  <c:x val="-9.7222222222222224E-2"/>
                  <c:y val="-3.7037037037037042E-2"/>
                </c:manualLayout>
              </c:layout>
              <c:showVal val="1"/>
            </c:dLbl>
            <c:dLbl>
              <c:idx val="2"/>
              <c:layout>
                <c:manualLayout>
                  <c:x val="-0.11666666666666668"/>
                  <c:y val="-4.6296296296296349E-2"/>
                </c:manualLayout>
              </c:layout>
              <c:showVal val="1"/>
            </c:dLbl>
            <c:dLbl>
              <c:idx val="3"/>
              <c:layout>
                <c:manualLayout>
                  <c:x val="-8.0555555555555575E-2"/>
                  <c:y val="-3.703703703703704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Sheet1!$B$66:$E$66</c:f>
              <c:strCache>
                <c:ptCount val="4"/>
                <c:pt idx="0">
                  <c:v>30.11.2014</c:v>
                </c:pt>
                <c:pt idx="1">
                  <c:v>30.11.2015</c:v>
                </c:pt>
                <c:pt idx="2">
                  <c:v>31.12.2015</c:v>
                </c:pt>
                <c:pt idx="3">
                  <c:v>30.11.2016</c:v>
                </c:pt>
              </c:strCache>
            </c:strRef>
          </c:cat>
          <c:val>
            <c:numRef>
              <c:f>Sheet1!$B$67:$E$67</c:f>
              <c:numCache>
                <c:formatCode>#,##0.0</c:formatCode>
                <c:ptCount val="4"/>
                <c:pt idx="0">
                  <c:v>3264.5</c:v>
                </c:pt>
                <c:pt idx="1">
                  <c:v>3578.9</c:v>
                </c:pt>
                <c:pt idx="2" formatCode="#,##0.0;[Red]#,##0.0">
                  <c:v>3839.9</c:v>
                </c:pt>
                <c:pt idx="3">
                  <c:v>3997.1</c:v>
                </c:pt>
              </c:numCache>
            </c:numRef>
          </c:val>
        </c:ser>
        <c:ser>
          <c:idx val="1"/>
          <c:order val="1"/>
          <c:tx>
            <c:strRef>
              <c:f>Sheet1!$A$68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6.666666666666668E-2"/>
                  <c:y val="-4.1666666666666761E-2"/>
                </c:manualLayout>
              </c:layout>
              <c:showVal val="1"/>
            </c:dLbl>
            <c:dLbl>
              <c:idx val="1"/>
              <c:layout>
                <c:manualLayout>
                  <c:x val="-6.666666666666668E-2"/>
                  <c:y val="-3.7037037037037132E-2"/>
                </c:manualLayout>
              </c:layout>
              <c:showVal val="1"/>
            </c:dLbl>
            <c:dLbl>
              <c:idx val="2"/>
              <c:layout>
                <c:manualLayout>
                  <c:x val="-6.3888888888888884E-2"/>
                  <c:y val="-4.6296296296296301E-2"/>
                </c:manualLayout>
              </c:layout>
              <c:showVal val="1"/>
            </c:dLbl>
            <c:dLbl>
              <c:idx val="3"/>
              <c:layout>
                <c:manualLayout>
                  <c:x val="-6.666666666666668E-2"/>
                  <c:y val="-4.629629629629622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Sheet1!$B$66:$E$66</c:f>
              <c:strCache>
                <c:ptCount val="4"/>
                <c:pt idx="0">
                  <c:v>30.11.2014</c:v>
                </c:pt>
                <c:pt idx="1">
                  <c:v>30.11.2015</c:v>
                </c:pt>
                <c:pt idx="2">
                  <c:v>31.12.2015</c:v>
                </c:pt>
                <c:pt idx="3">
                  <c:v>30.11.2016</c:v>
                </c:pt>
              </c:strCache>
            </c:strRef>
          </c:cat>
          <c:val>
            <c:numRef>
              <c:f>Sheet1!$B$68:$E$68</c:f>
              <c:numCache>
                <c:formatCode>0.0</c:formatCode>
                <c:ptCount val="4"/>
                <c:pt idx="0">
                  <c:v>439.1</c:v>
                </c:pt>
                <c:pt idx="1">
                  <c:v>483</c:v>
                </c:pt>
                <c:pt idx="2" formatCode="#,##0.0;[Red]#,##0.0">
                  <c:v>476.3</c:v>
                </c:pt>
                <c:pt idx="3">
                  <c:v>497.8</c:v>
                </c:pt>
              </c:numCache>
            </c:numRef>
          </c:val>
        </c:ser>
        <c:dLbls>
          <c:showVal val="1"/>
        </c:dLbls>
        <c:marker val="1"/>
        <c:axId val="138687616"/>
        <c:axId val="138689152"/>
      </c:lineChart>
      <c:catAx>
        <c:axId val="1386876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138689152"/>
        <c:crosses val="autoZero"/>
        <c:auto val="1"/>
        <c:lblAlgn val="ctr"/>
        <c:lblOffset val="100"/>
      </c:catAx>
      <c:valAx>
        <c:axId val="138689152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crossAx val="138687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40415573053369"/>
          <c:y val="0.26639836687080787"/>
          <c:w val="0.28929177602799649"/>
          <c:h val="0.61002697579469234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FinComm Expert2</dc:creator>
  <cp:keywords/>
  <dc:description/>
  <cp:lastModifiedBy>User</cp:lastModifiedBy>
  <cp:revision>3</cp:revision>
  <cp:lastPrinted>2016-11-04T06:40:00Z</cp:lastPrinted>
  <dcterms:created xsi:type="dcterms:W3CDTF">2016-12-12T06:11:00Z</dcterms:created>
  <dcterms:modified xsi:type="dcterms:W3CDTF">2016-12-12T06:19:00Z</dcterms:modified>
</cp:coreProperties>
</file>