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DB08F9">
        <w:rPr>
          <w:rFonts w:ascii="GHEA Grapalat" w:hAnsi="GHEA Grapalat" w:cs="Sylfaen"/>
          <w:sz w:val="24"/>
          <w:szCs w:val="24"/>
        </w:rPr>
        <w:t>հունիս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DB08F9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DB08F9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B08F9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698808" cy="2743200"/>
            <wp:effectExtent l="19050" t="0" r="25592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DB08F9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B08F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779CB" w:rsidRPr="00F779CB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92086" cy="2743200"/>
            <wp:effectExtent l="19050" t="0" r="13264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5B7200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5B720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0150" cy="2743200"/>
            <wp:effectExtent l="19050" t="0" r="11850" b="0"/>
            <wp:docPr id="1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5B7200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87455" cy="2743200"/>
            <wp:effectExtent l="19050" t="0" r="22645" b="0"/>
            <wp:docPr id="14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CE2B51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CE2B5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58772" cy="3105510"/>
            <wp:effectExtent l="19050" t="0" r="13228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 </w:t>
      </w:r>
      <w:r w:rsidRPr="00CE2B51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39615" cy="3105510"/>
            <wp:effectExtent l="19050" t="0" r="13335" b="0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6D77DE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6D77DE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09818" cy="2976114"/>
            <wp:effectExtent l="19050" t="0" r="24082" b="0"/>
            <wp:docPr id="18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="005333D4" w:rsidRPr="005333D4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5348" cy="2924355"/>
            <wp:effectExtent l="19050" t="0" r="13802" b="9345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9C678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274443" cy="3183147"/>
            <wp:effectExtent l="19050" t="0" r="21207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Pr="009C678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3094187" cy="3183147"/>
            <wp:effectExtent l="19050" t="0" r="10963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9C678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2894246" cy="3174892"/>
            <wp:effectExtent l="19050" t="0" r="20404" b="6458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9C6789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80256" cy="3053751"/>
            <wp:effectExtent l="19050" t="0" r="20344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9C678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053751"/>
            <wp:effectExtent l="19050" t="0" r="22644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9C6789">
        <w:rPr>
          <w:rFonts w:ascii="GHEA Grapalat" w:hAnsi="GHEA Grapalat"/>
          <w:sz w:val="16"/>
          <w:szCs w:val="16"/>
        </w:rPr>
        <w:t>հունիս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013691">
      <w:headerReference w:type="default" r:id="rId23"/>
      <w:pgSz w:w="15840" w:h="12240" w:orient="landscape"/>
      <w:pgMar w:top="450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D3" w:rsidRDefault="000429D3" w:rsidP="00AC2D9E">
      <w:pPr>
        <w:spacing w:after="0" w:line="240" w:lineRule="auto"/>
      </w:pPr>
      <w:r>
        <w:separator/>
      </w:r>
    </w:p>
  </w:endnote>
  <w:endnote w:type="continuationSeparator" w:id="1">
    <w:p w:rsidR="000429D3" w:rsidRDefault="000429D3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D3" w:rsidRDefault="000429D3" w:rsidP="00AC2D9E">
      <w:pPr>
        <w:spacing w:after="0" w:line="240" w:lineRule="auto"/>
      </w:pPr>
      <w:r>
        <w:separator/>
      </w:r>
    </w:p>
  </w:footnote>
  <w:footnote w:type="continuationSeparator" w:id="1">
    <w:p w:rsidR="000429D3" w:rsidRDefault="000429D3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5569"/>
    <w:rsid w:val="00013691"/>
    <w:rsid w:val="00014E0B"/>
    <w:rsid w:val="000429D3"/>
    <w:rsid w:val="0006054D"/>
    <w:rsid w:val="000650B8"/>
    <w:rsid w:val="000675D6"/>
    <w:rsid w:val="0008501D"/>
    <w:rsid w:val="000C120D"/>
    <w:rsid w:val="00102816"/>
    <w:rsid w:val="0012000E"/>
    <w:rsid w:val="001476E6"/>
    <w:rsid w:val="00160AE9"/>
    <w:rsid w:val="00194EC9"/>
    <w:rsid w:val="0019787B"/>
    <w:rsid w:val="001B0B81"/>
    <w:rsid w:val="001C1675"/>
    <w:rsid w:val="001D2D9A"/>
    <w:rsid w:val="001D6A45"/>
    <w:rsid w:val="001E262C"/>
    <w:rsid w:val="001E7DD6"/>
    <w:rsid w:val="001F2E6E"/>
    <w:rsid w:val="001F3DC4"/>
    <w:rsid w:val="002003E2"/>
    <w:rsid w:val="00212BB3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F2A59"/>
    <w:rsid w:val="003003CC"/>
    <w:rsid w:val="00304E24"/>
    <w:rsid w:val="0032061B"/>
    <w:rsid w:val="003361C0"/>
    <w:rsid w:val="00345F90"/>
    <w:rsid w:val="003670A8"/>
    <w:rsid w:val="003A58E5"/>
    <w:rsid w:val="003C7B39"/>
    <w:rsid w:val="003D3234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2ADD"/>
    <w:rsid w:val="00487DE4"/>
    <w:rsid w:val="004B29FC"/>
    <w:rsid w:val="004B3A6B"/>
    <w:rsid w:val="004B6FE4"/>
    <w:rsid w:val="004D38E0"/>
    <w:rsid w:val="004F2B23"/>
    <w:rsid w:val="00513FFD"/>
    <w:rsid w:val="005244EF"/>
    <w:rsid w:val="00530666"/>
    <w:rsid w:val="005333D4"/>
    <w:rsid w:val="005403D8"/>
    <w:rsid w:val="005573EF"/>
    <w:rsid w:val="005B1A4E"/>
    <w:rsid w:val="005B7200"/>
    <w:rsid w:val="005C63AF"/>
    <w:rsid w:val="005D5AFC"/>
    <w:rsid w:val="005E0215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10FD"/>
    <w:rsid w:val="00672C70"/>
    <w:rsid w:val="00683871"/>
    <w:rsid w:val="006927B1"/>
    <w:rsid w:val="00697E19"/>
    <w:rsid w:val="006A61EA"/>
    <w:rsid w:val="006B5023"/>
    <w:rsid w:val="006B6EF3"/>
    <w:rsid w:val="006D02A5"/>
    <w:rsid w:val="006D77DE"/>
    <w:rsid w:val="006F698B"/>
    <w:rsid w:val="007061B2"/>
    <w:rsid w:val="00745186"/>
    <w:rsid w:val="00795E20"/>
    <w:rsid w:val="007A694E"/>
    <w:rsid w:val="007A7000"/>
    <w:rsid w:val="007A74E8"/>
    <w:rsid w:val="007B37F5"/>
    <w:rsid w:val="007B4FE1"/>
    <w:rsid w:val="007C3361"/>
    <w:rsid w:val="007D095A"/>
    <w:rsid w:val="00803D24"/>
    <w:rsid w:val="0081180D"/>
    <w:rsid w:val="00811EF3"/>
    <w:rsid w:val="00816579"/>
    <w:rsid w:val="00841547"/>
    <w:rsid w:val="00843B3E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17ADA"/>
    <w:rsid w:val="00923985"/>
    <w:rsid w:val="00927F36"/>
    <w:rsid w:val="00934D90"/>
    <w:rsid w:val="00947826"/>
    <w:rsid w:val="009A5C17"/>
    <w:rsid w:val="009C34ED"/>
    <w:rsid w:val="009C6789"/>
    <w:rsid w:val="009C6F99"/>
    <w:rsid w:val="009E66DD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681D"/>
    <w:rsid w:val="00B55DF2"/>
    <w:rsid w:val="00B61515"/>
    <w:rsid w:val="00B619F8"/>
    <w:rsid w:val="00B61D27"/>
    <w:rsid w:val="00B63EB8"/>
    <w:rsid w:val="00B84B20"/>
    <w:rsid w:val="00B85680"/>
    <w:rsid w:val="00BD3858"/>
    <w:rsid w:val="00BD7408"/>
    <w:rsid w:val="00C017E6"/>
    <w:rsid w:val="00C05E66"/>
    <w:rsid w:val="00C132D9"/>
    <w:rsid w:val="00C1557D"/>
    <w:rsid w:val="00C26433"/>
    <w:rsid w:val="00C277E0"/>
    <w:rsid w:val="00C94D95"/>
    <w:rsid w:val="00CB051C"/>
    <w:rsid w:val="00CD2C49"/>
    <w:rsid w:val="00CE2B51"/>
    <w:rsid w:val="00CF0868"/>
    <w:rsid w:val="00CF259D"/>
    <w:rsid w:val="00CF3581"/>
    <w:rsid w:val="00CF4D61"/>
    <w:rsid w:val="00D221F8"/>
    <w:rsid w:val="00D34BAE"/>
    <w:rsid w:val="00D50656"/>
    <w:rsid w:val="00D67B14"/>
    <w:rsid w:val="00D8356A"/>
    <w:rsid w:val="00DB08F9"/>
    <w:rsid w:val="00DB46EB"/>
    <w:rsid w:val="00DD1BED"/>
    <w:rsid w:val="00E0173A"/>
    <w:rsid w:val="00E07AEA"/>
    <w:rsid w:val="00E267D1"/>
    <w:rsid w:val="00E305FB"/>
    <w:rsid w:val="00E311F1"/>
    <w:rsid w:val="00E572E5"/>
    <w:rsid w:val="00E7138C"/>
    <w:rsid w:val="00E7371B"/>
    <w:rsid w:val="00E769D5"/>
    <w:rsid w:val="00EC11CC"/>
    <w:rsid w:val="00ED0F8A"/>
    <w:rsid w:val="00EF7F1B"/>
    <w:rsid w:val="00F057EC"/>
    <w:rsid w:val="00F336DE"/>
    <w:rsid w:val="00F40D2C"/>
    <w:rsid w:val="00F51D59"/>
    <w:rsid w:val="00F63873"/>
    <w:rsid w:val="00F779CB"/>
    <w:rsid w:val="00FA1371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ne2017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9.7362892531515324E-2"/>
          <c:y val="0.17083333333333353"/>
          <c:w val="0.87747987476408362"/>
          <c:h val="0.72649715660542524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5.6254917820807064E-3"/>
                  <c:y val="-9.259259259259288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1245622774420322E-17"/>
                  <c:y val="-9.2592592592592851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-8.3857442348008737E-3"/>
                  <c:y val="-0.12037037037037036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1.0249124554884088E-16"/>
                  <c:y val="-8.7962962962963145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 formatCode="General">
                  <c:v>104.4</c:v>
                </c:pt>
                <c:pt idx="1">
                  <c:v>104.1</c:v>
                </c:pt>
                <c:pt idx="2" formatCode="#,##0.0;[Red]#,##0.0">
                  <c:v>105.3</c:v>
                </c:pt>
                <c:pt idx="3">
                  <c:v>106.1</c:v>
                </c:pt>
              </c:numCache>
            </c:numRef>
          </c:val>
        </c:ser>
        <c:gapWidth val="75"/>
        <c:overlap val="40"/>
        <c:axId val="52596736"/>
        <c:axId val="52598272"/>
      </c:barChart>
      <c:catAx>
        <c:axId val="5259673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52598272"/>
        <c:crosses val="autoZero"/>
        <c:auto val="1"/>
        <c:lblAlgn val="ctr"/>
        <c:lblOffset val="100"/>
      </c:catAx>
      <c:valAx>
        <c:axId val="52598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25967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23041457005048976"/>
          <c:w val="0.98624155751635634"/>
          <c:h val="0.67327598735447824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dLbl>
              <c:idx val="1"/>
              <c:layout>
                <c:manualLayout>
                  <c:x val="-5.5033769934574881E-3"/>
                  <c:y val="1.302851398000584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6856759866705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65200</c:v>
                </c:pt>
                <c:pt idx="1">
                  <c:v>85530</c:v>
                </c:pt>
                <c:pt idx="2">
                  <c:v>96370</c:v>
                </c:pt>
                <c:pt idx="3">
                  <c:v>91532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5.5033769934574881E-3"/>
                  <c:y val="1.73713519733411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685675986670565E-3"/>
                </c:manualLayout>
              </c:layout>
              <c:showVal val="1"/>
            </c:dLbl>
            <c:dLbl>
              <c:idx val="2"/>
              <c:layout>
                <c:manualLayout>
                  <c:x val="5.5033769934574881E-3"/>
                  <c:y val="8.6856759866705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62048</c:v>
                </c:pt>
                <c:pt idx="1">
                  <c:v>74360</c:v>
                </c:pt>
                <c:pt idx="2">
                  <c:v>78726</c:v>
                </c:pt>
                <c:pt idx="3">
                  <c:v>77402</c:v>
                </c:pt>
              </c:numCache>
            </c:numRef>
          </c:val>
        </c:ser>
        <c:dLbls>
          <c:showVal val="1"/>
        </c:dLbls>
        <c:overlap val="-25"/>
        <c:axId val="61059072"/>
        <c:axId val="61060608"/>
      </c:barChart>
      <c:catAx>
        <c:axId val="6105907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1060608"/>
        <c:crosses val="autoZero"/>
        <c:auto val="1"/>
        <c:lblAlgn val="ctr"/>
        <c:lblOffset val="100"/>
      </c:catAx>
      <c:valAx>
        <c:axId val="61060608"/>
        <c:scaling>
          <c:orientation val="minMax"/>
        </c:scaling>
        <c:delete val="1"/>
        <c:axPos val="l"/>
        <c:numFmt formatCode="#,##0.0;[Red]#,##0.0" sourceLinked="1"/>
        <c:tickLblPos val="nextTo"/>
        <c:crossAx val="61059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4427098454980986E-4"/>
          <c:y val="2.6057027960011695E-2"/>
          <c:w val="0.85582343953262063"/>
          <c:h val="0.18264335212380178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166737</c:v>
                </c:pt>
                <c:pt idx="1">
                  <c:v>180989</c:v>
                </c:pt>
                <c:pt idx="2">
                  <c:v>183189</c:v>
                </c:pt>
                <c:pt idx="3">
                  <c:v>190711</c:v>
                </c:pt>
              </c:numCache>
            </c:numRef>
          </c:val>
        </c:ser>
        <c:dLbls>
          <c:showVal val="1"/>
        </c:dLbls>
        <c:overlap val="-25"/>
        <c:axId val="61092992"/>
        <c:axId val="61094528"/>
      </c:barChart>
      <c:catAx>
        <c:axId val="6109299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1094528"/>
        <c:crosses val="autoZero"/>
        <c:auto val="1"/>
        <c:lblAlgn val="ctr"/>
        <c:lblOffset val="100"/>
      </c:catAx>
      <c:valAx>
        <c:axId val="61094528"/>
        <c:scaling>
          <c:orientation val="minMax"/>
        </c:scaling>
        <c:delete val="1"/>
        <c:axPos val="l"/>
        <c:numFmt formatCode="#,##0.0" sourceLinked="1"/>
        <c:tickLblPos val="nextTo"/>
        <c:crossAx val="610929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3555346328649027"/>
          <c:w val="1"/>
          <c:h val="0.55095444853787834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953380</c:v>
                </c:pt>
                <c:pt idx="1">
                  <c:v>405224</c:v>
                </c:pt>
                <c:pt idx="2">
                  <c:v>548156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682685</c:v>
                </c:pt>
                <c:pt idx="1">
                  <c:v>350309</c:v>
                </c:pt>
                <c:pt idx="2">
                  <c:v>332376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622483</c:v>
                </c:pt>
                <c:pt idx="1">
                  <c:v>368381</c:v>
                </c:pt>
                <c:pt idx="2">
                  <c:v>254102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724760</c:v>
                </c:pt>
                <c:pt idx="1">
                  <c:v>442487</c:v>
                </c:pt>
                <c:pt idx="2">
                  <c:v>282272</c:v>
                </c:pt>
              </c:numCache>
            </c:numRef>
          </c:val>
        </c:ser>
        <c:dLbls>
          <c:showVal val="1"/>
        </c:dLbls>
        <c:overlap val="-25"/>
        <c:axId val="69613440"/>
        <c:axId val="69614976"/>
      </c:barChart>
      <c:catAx>
        <c:axId val="696134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614976"/>
        <c:crosses val="autoZero"/>
        <c:auto val="1"/>
        <c:lblAlgn val="ctr"/>
        <c:lblOffset val="100"/>
      </c:catAx>
      <c:valAx>
        <c:axId val="69614976"/>
        <c:scaling>
          <c:orientation val="minMax"/>
        </c:scaling>
        <c:delete val="1"/>
        <c:axPos val="l"/>
        <c:numFmt formatCode="#,##0" sourceLinked="1"/>
        <c:tickLblPos val="nextTo"/>
        <c:crossAx val="69613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3110080289264682E-4"/>
          <c:y val="0.18424722452340431"/>
          <c:w val="0.9940330044693485"/>
          <c:h val="9.876766608642347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9807804485947915"/>
          <c:w val="0.9736718993478799"/>
          <c:h val="0.40007849085890201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392900</c:v>
                </c:pt>
                <c:pt idx="1">
                  <c:v>167024</c:v>
                </c:pt>
                <c:pt idx="2">
                  <c:v>225876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325479</c:v>
                </c:pt>
                <c:pt idx="1">
                  <c:v>167083</c:v>
                </c:pt>
                <c:pt idx="2">
                  <c:v>158397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300872</c:v>
                </c:pt>
                <c:pt idx="1">
                  <c:v>178275</c:v>
                </c:pt>
                <c:pt idx="2">
                  <c:v>122598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350966</c:v>
                </c:pt>
                <c:pt idx="1">
                  <c:v>214350</c:v>
                </c:pt>
                <c:pt idx="2">
                  <c:v>136616</c:v>
                </c:pt>
              </c:numCache>
            </c:numRef>
          </c:val>
        </c:ser>
        <c:dLbls>
          <c:showVal val="1"/>
        </c:dLbls>
        <c:overlap val="-25"/>
        <c:axId val="69655552"/>
        <c:axId val="69677824"/>
      </c:barChart>
      <c:catAx>
        <c:axId val="696555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677824"/>
        <c:crosses val="autoZero"/>
        <c:auto val="1"/>
        <c:lblAlgn val="ctr"/>
        <c:lblOffset val="100"/>
      </c:catAx>
      <c:valAx>
        <c:axId val="69677824"/>
        <c:scaling>
          <c:orientation val="minMax"/>
        </c:scaling>
        <c:delete val="1"/>
        <c:axPos val="l"/>
        <c:numFmt formatCode="#,##0" sourceLinked="1"/>
        <c:tickLblPos val="nextTo"/>
        <c:crossAx val="69655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672669180557953"/>
          <c:w val="0.99727390138917005"/>
          <c:h val="8.7264070714846473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4337639185382246"/>
          <c:w val="0.99734323852111684"/>
          <c:h val="0.6566236081461797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-6.0883413894012943E-18"/>
                  <c:y val="2.4952918558192819E-2"/>
                </c:manualLayout>
              </c:layout>
              <c:showVal val="1"/>
            </c:dLbl>
            <c:dLbl>
              <c:idx val="1"/>
              <c:layout>
                <c:manualLayout>
                  <c:x val="-5.3135229577662788E-3"/>
                  <c:y val="2.495291855819289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663527903879525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4952918558192858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532631</c:v>
                </c:pt>
                <c:pt idx="1">
                  <c:v>534879.1</c:v>
                </c:pt>
                <c:pt idx="2">
                  <c:v>546968</c:v>
                </c:pt>
                <c:pt idx="3">
                  <c:v>581668.80000000005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1.2176682778802569E-17"/>
                  <c:y val="1.2476459279096429E-2"/>
                </c:manualLayout>
              </c:layout>
              <c:showVal val="1"/>
            </c:dLbl>
            <c:dLbl>
              <c:idx val="1"/>
              <c:layout>
                <c:manualLayout>
                  <c:x val="-2.0919381723489323E-7"/>
                  <c:y val="2.079409879849404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4952918558192858E-2"/>
                </c:manualLayout>
              </c:layout>
              <c:showVal val="1"/>
            </c:dLbl>
            <c:dLbl>
              <c:idx val="3"/>
              <c:layout>
                <c:manualLayout>
                  <c:x val="-2.6567614788831411E-3"/>
                  <c:y val="2.079409879849404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Sheet1!$C$283:$F$283</c:f>
              <c:numCache>
                <c:formatCode>#,##0.00</c:formatCode>
                <c:ptCount val="4"/>
                <c:pt idx="0">
                  <c:v>521723.9</c:v>
                </c:pt>
                <c:pt idx="1">
                  <c:v>595097.80000000005</c:v>
                </c:pt>
                <c:pt idx="2">
                  <c:v>631818</c:v>
                </c:pt>
                <c:pt idx="3">
                  <c:v>619990.80000000005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-2.6567614788831411E-3"/>
                  <c:y val="8.3176395193977244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538766585749787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5387698604110178"/>
                </c:manualLayout>
              </c:layout>
              <c:showVal val="1"/>
            </c:dLbl>
            <c:dLbl>
              <c:idx val="3"/>
              <c:layout>
                <c:manualLayout>
                  <c:x val="2.6567614788831411E-3"/>
                  <c:y val="0.149717511349157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Sheet1!$C$284:$F$284</c:f>
              <c:numCache>
                <c:formatCode>#,##0.00</c:formatCode>
                <c:ptCount val="4"/>
                <c:pt idx="0">
                  <c:v>10907.1</c:v>
                </c:pt>
                <c:pt idx="1">
                  <c:v>-60218.7</c:v>
                </c:pt>
                <c:pt idx="2">
                  <c:v>-84850</c:v>
                </c:pt>
                <c:pt idx="3">
                  <c:v>-38322</c:v>
                </c:pt>
              </c:numCache>
            </c:numRef>
          </c:val>
        </c:ser>
        <c:dLbls>
          <c:showVal val="1"/>
        </c:dLbls>
        <c:overlap val="-25"/>
        <c:axId val="69721088"/>
        <c:axId val="69726976"/>
      </c:barChart>
      <c:catAx>
        <c:axId val="6972108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700" b="1">
                <a:latin typeface="GHEA Grapalat" pitchFamily="50" charset="0"/>
              </a:defRPr>
            </a:pPr>
            <a:endParaRPr lang="en-US"/>
          </a:p>
        </c:txPr>
        <c:crossAx val="69726976"/>
        <c:crosses val="autoZero"/>
        <c:auto val="1"/>
        <c:lblAlgn val="ctr"/>
        <c:lblOffset val="100"/>
      </c:catAx>
      <c:valAx>
        <c:axId val="69726976"/>
        <c:scaling>
          <c:orientation val="minMax"/>
        </c:scaling>
        <c:delete val="1"/>
        <c:axPos val="l"/>
        <c:numFmt formatCode="#,##0.00" sourceLinked="1"/>
        <c:tickLblPos val="nextTo"/>
        <c:crossAx val="69721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534604491328864"/>
          <c:w val="1"/>
          <c:h val="6.5151349929971361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5134858736026622"/>
          <c:w val="0.9833202215389788"/>
          <c:h val="0.74865141263973567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2.7799630768368683E-3"/>
                  <c:y val="-3.2746612281093073E-7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4064329409961746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Sheet1!$C$304:$F$304</c:f>
              <c:numCache>
                <c:formatCode>#,##0.00</c:formatCode>
                <c:ptCount val="4"/>
                <c:pt idx="0">
                  <c:v>15296.7</c:v>
                </c:pt>
                <c:pt idx="1">
                  <c:v>-66889.100000000006</c:v>
                </c:pt>
                <c:pt idx="2">
                  <c:v>93643.8</c:v>
                </c:pt>
                <c:pt idx="3">
                  <c:v>61679.5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-2.7799630768368675E-3"/>
                  <c:y val="1.2476786745219169E-2"/>
                </c:manualLayout>
              </c:layout>
              <c:showVal val="1"/>
            </c:dLbl>
            <c:dLbl>
              <c:idx val="2"/>
              <c:layout>
                <c:manualLayout>
                  <c:x val="-5.5599261536737393E-3"/>
                  <c:y val="6.5493224562186135E-7"/>
                </c:manualLayout>
              </c:layout>
              <c:showVal val="1"/>
            </c:dLbl>
            <c:dLbl>
              <c:idx val="3"/>
              <c:layout>
                <c:manualLayout>
                  <c:x val="1.0193080197069624E-16"/>
                  <c:y val="1.247645927909642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Sheet1!$C$305:$F$305</c:f>
              <c:numCache>
                <c:formatCode>#,##0.00</c:formatCode>
                <c:ptCount val="4"/>
                <c:pt idx="0">
                  <c:v>-26203.8</c:v>
                </c:pt>
                <c:pt idx="1">
                  <c:v>127107.8</c:v>
                </c:pt>
                <c:pt idx="2">
                  <c:v>-8793.7999999999902</c:v>
                </c:pt>
                <c:pt idx="3">
                  <c:v>-23357.5</c:v>
                </c:pt>
              </c:numCache>
            </c:numRef>
          </c:val>
        </c:ser>
        <c:dLbls>
          <c:showVal val="1"/>
        </c:dLbls>
        <c:gapWidth val="95"/>
        <c:overlap val="100"/>
        <c:axId val="83093760"/>
        <c:axId val="83226624"/>
      </c:barChart>
      <c:catAx>
        <c:axId val="83093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3226624"/>
        <c:crosses val="autoZero"/>
        <c:auto val="1"/>
        <c:lblAlgn val="ctr"/>
        <c:lblOffset val="100"/>
      </c:catAx>
      <c:valAx>
        <c:axId val="83226624"/>
        <c:scaling>
          <c:orientation val="minMax"/>
        </c:scaling>
        <c:delete val="1"/>
        <c:axPos val="l"/>
        <c:numFmt formatCode="#,##0.00" sourceLinked="1"/>
        <c:tickLblPos val="nextTo"/>
        <c:crossAx val="830937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803323960260983E-2"/>
          <c:y val="0.16177808865228371"/>
          <c:w val="0.96561338900264027"/>
          <c:h val="6.8776399909488431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2.9730944528910376E-2"/>
          <c:y val="0.42950750947798233"/>
          <c:w val="0.94053811094217943"/>
          <c:h val="0.43129520268299776"/>
        </c:manualLayout>
      </c:layout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5.4056262779836987E-3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2.7026003190596432E-3"/>
                  <c:y val="1.8518518518518542E-2"/>
                </c:manualLayout>
              </c:layout>
              <c:showVal val="1"/>
            </c:dLbl>
            <c:dLbl>
              <c:idx val="2"/>
              <c:layout>
                <c:manualLayout>
                  <c:x val="-5.4056262779836987E-3"/>
                  <c:y val="9.2592592592592865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579335.1</c:v>
                </c:pt>
                <c:pt idx="1">
                  <c:v>219410.8</c:v>
                </c:pt>
                <c:pt idx="2">
                  <c:v>125872.7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4132400116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613639.69999999856</c:v>
                </c:pt>
                <c:pt idx="1">
                  <c:v>235551.5</c:v>
                </c:pt>
                <c:pt idx="2">
                  <c:v>134914.29999999999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4775500898724878E-17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851851851851846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659703</c:v>
                </c:pt>
                <c:pt idx="1">
                  <c:v>254279.4</c:v>
                </c:pt>
                <c:pt idx="2">
                  <c:v>125088.3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028131389918472E-3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2"/>
              <c:layout>
                <c:manualLayout>
                  <c:x val="-2.7028131389917492E-3"/>
                  <c:y val="1.851851851851862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760360.2</c:v>
                </c:pt>
                <c:pt idx="1">
                  <c:v>247116.7</c:v>
                </c:pt>
                <c:pt idx="2">
                  <c:v>111705.4</c:v>
                </c:pt>
              </c:numCache>
            </c:numRef>
          </c:val>
        </c:ser>
        <c:dLbls>
          <c:showVal val="1"/>
        </c:dLbls>
        <c:overlap val="-25"/>
        <c:axId val="52617984"/>
        <c:axId val="52619520"/>
      </c:barChart>
      <c:catAx>
        <c:axId val="52617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2619520"/>
        <c:crosses val="autoZero"/>
        <c:auto val="1"/>
        <c:lblAlgn val="ctr"/>
        <c:lblOffset val="100"/>
      </c:catAx>
      <c:valAx>
        <c:axId val="52619520"/>
        <c:scaling>
          <c:orientation val="minMax"/>
        </c:scaling>
        <c:delete val="1"/>
        <c:axPos val="l"/>
        <c:numFmt formatCode="#,##0.0" sourceLinked="1"/>
        <c:tickLblPos val="nextTo"/>
        <c:crossAx val="52617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957238516662121E-2"/>
          <c:y val="0.19375000000000001"/>
          <c:w val="0.96538270982768271"/>
          <c:h val="9.2238990959463571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800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4787146398366958"/>
          <c:w val="1"/>
          <c:h val="0.549459025955089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5.5904961565338921E-3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1010752.5</c:v>
                </c:pt>
                <c:pt idx="1">
                  <c:v>500244.7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2.5622811387210226E-17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2.79524807826695E-3"/>
                  <c:y val="1.3888888888888914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1006903.6</c:v>
                </c:pt>
                <c:pt idx="1">
                  <c:v>537899.19999999856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5.5904961565338921E-3"/>
                  <c:y val="9.2592592592592865E-3"/>
                </c:manualLayout>
              </c:layout>
              <c:showVal val="1"/>
            </c:dLbl>
            <c:dLbl>
              <c:idx val="1"/>
              <c:layout>
                <c:manualLayout>
                  <c:x val="2.79524807826695E-3"/>
                  <c:y val="1.3888888888888914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973481.8</c:v>
                </c:pt>
                <c:pt idx="1">
                  <c:v>583039.4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5.590496156533847E-3"/>
                  <c:y val="2.314814814814812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1121725.1000000001</c:v>
                </c:pt>
                <c:pt idx="1">
                  <c:v>648719.5</c:v>
                </c:pt>
              </c:numCache>
            </c:numRef>
          </c:val>
        </c:ser>
        <c:dLbls>
          <c:showVal val="1"/>
        </c:dLbls>
        <c:overlap val="-25"/>
        <c:axId val="52840320"/>
        <c:axId val="52841856"/>
      </c:barChart>
      <c:catAx>
        <c:axId val="52840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2841856"/>
        <c:crosses val="autoZero"/>
        <c:auto val="1"/>
        <c:lblAlgn val="ctr"/>
        <c:lblOffset val="100"/>
      </c:catAx>
      <c:valAx>
        <c:axId val="52841856"/>
        <c:scaling>
          <c:orientation val="minMax"/>
        </c:scaling>
        <c:delete val="1"/>
        <c:axPos val="l"/>
        <c:numFmt formatCode="#,##0.0" sourceLinked="1"/>
        <c:tickLblPos val="nextTo"/>
        <c:crossAx val="528403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4409448818897634E-2"/>
          <c:y val="0.1400462962962967"/>
          <c:w val="0.89999988995086311"/>
          <c:h val="6.1350612423447123E-2"/>
        </c:manualLayout>
      </c:layout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7233158355205644"/>
          <c:w val="1"/>
          <c:h val="0.56060841353164292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066852568345986E-3"/>
                  <c:y val="1.85185185185185E-2"/>
                </c:manualLayout>
              </c:layout>
              <c:showVal val="1"/>
            </c:dLbl>
            <c:dLbl>
              <c:idx val="1"/>
              <c:layout>
                <c:manualLayout>
                  <c:x val="-5.4133705136692424E-3"/>
                  <c:y val="1.8518518518518542E-2"/>
                </c:manualLayout>
              </c:layout>
              <c:showVal val="1"/>
            </c:dLbl>
            <c:dLbl>
              <c:idx val="2"/>
              <c:layout>
                <c:manualLayout>
                  <c:x val="-1.3533426284172981E-2"/>
                  <c:y val="1.85185185185185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100</c:v>
                </c:pt>
                <c:pt idx="1">
                  <c:v>101.4</c:v>
                </c:pt>
                <c:pt idx="2">
                  <c:v>100.4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3264E-3"/>
                </c:manualLayout>
              </c:layout>
              <c:showVal val="1"/>
            </c:dLbl>
            <c:dLbl>
              <c:idx val="1"/>
              <c:layout>
                <c:manualLayout>
                  <c:x val="-2.7066852568345986E-3"/>
                  <c:y val="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5.4133705136691947E-3"/>
                  <c:y val="2.777777777777785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105.1</c:v>
                </c:pt>
                <c:pt idx="1">
                  <c:v>114.5</c:v>
                </c:pt>
                <c:pt idx="2">
                  <c:v>100.6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108.9</c:v>
                </c:pt>
                <c:pt idx="1">
                  <c:v>103.3</c:v>
                </c:pt>
                <c:pt idx="2">
                  <c:v>92.2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1"/>
              <c:layout>
                <c:manualLayout>
                  <c:x val="2.7066852568345986E-3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2.7066852568345986E-3"/>
                  <c:y val="1.85185185185185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112.4</c:v>
                </c:pt>
                <c:pt idx="1">
                  <c:v>98.6</c:v>
                </c:pt>
                <c:pt idx="2">
                  <c:v>90</c:v>
                </c:pt>
              </c:numCache>
            </c:numRef>
          </c:val>
        </c:ser>
        <c:dLbls>
          <c:showVal val="1"/>
        </c:dLbls>
        <c:overlap val="-25"/>
        <c:axId val="60374016"/>
        <c:axId val="60392192"/>
      </c:barChart>
      <c:catAx>
        <c:axId val="60374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0392192"/>
        <c:crosses val="autoZero"/>
        <c:auto val="1"/>
        <c:lblAlgn val="ctr"/>
        <c:lblOffset val="100"/>
      </c:catAx>
      <c:valAx>
        <c:axId val="60392192"/>
        <c:scaling>
          <c:orientation val="minMax"/>
        </c:scaling>
        <c:delete val="1"/>
        <c:axPos val="l"/>
        <c:numFmt formatCode="0.0" sourceLinked="1"/>
        <c:tickLblPos val="nextTo"/>
        <c:crossAx val="60374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6090527752475185E-2"/>
          <c:y val="0.14768518518518539"/>
          <c:w val="0.93969888872454665"/>
          <c:h val="0.1061278798483522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6307232429279681"/>
          <c:w val="1"/>
          <c:h val="0.60060440361621559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-2.7849961075841856E-3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</c:formatCode>
                <c:ptCount val="2"/>
                <c:pt idx="0" formatCode="0.0;[Red]0.0">
                  <c:v>105.6</c:v>
                </c:pt>
                <c:pt idx="1">
                  <c:v>104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5.5699922151683711E-3"/>
                  <c:y val="1.38888888888889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</c:formatCode>
                <c:ptCount val="2"/>
                <c:pt idx="0" formatCode="0.0;[Red]0.0">
                  <c:v>94.9</c:v>
                </c:pt>
                <c:pt idx="1">
                  <c:v>103.3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</c:formatCode>
                <c:ptCount val="2"/>
                <c:pt idx="0" formatCode="0.0;[Red]0.0">
                  <c:v>99.7</c:v>
                </c:pt>
                <c:pt idx="1">
                  <c:v>108.3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5.1057672149791424E-17"/>
                  <c:y val="1.3888888888888914E-2"/>
                </c:manualLayout>
              </c:layout>
              <c:showVal val="1"/>
            </c:dLbl>
            <c:dLbl>
              <c:idx val="1"/>
              <c:layout>
                <c:manualLayout>
                  <c:x val="1.0211534429958277E-16"/>
                  <c:y val="1.851851851851854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</c:formatCode>
                <c:ptCount val="2"/>
                <c:pt idx="0" formatCode="0.0;[Red]0.0">
                  <c:v>112.6</c:v>
                </c:pt>
                <c:pt idx="1">
                  <c:v>110.9</c:v>
                </c:pt>
              </c:numCache>
            </c:numRef>
          </c:val>
        </c:ser>
        <c:dLbls>
          <c:showVal val="1"/>
        </c:dLbls>
        <c:overlap val="-25"/>
        <c:axId val="60539264"/>
        <c:axId val="60540800"/>
      </c:barChart>
      <c:catAx>
        <c:axId val="60539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0540800"/>
        <c:crosses val="autoZero"/>
        <c:auto val="1"/>
        <c:lblAlgn val="ctr"/>
        <c:lblOffset val="100"/>
      </c:catAx>
      <c:valAx>
        <c:axId val="60540800"/>
        <c:scaling>
          <c:orientation val="minMax"/>
        </c:scaling>
        <c:delete val="1"/>
        <c:axPos val="l"/>
        <c:numFmt formatCode="0.0;[Red]0.0" sourceLinked="1"/>
        <c:tickLblPos val="nextTo"/>
        <c:crossAx val="60539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0229159128537376E-2"/>
          <c:y val="0.14768518518518539"/>
          <c:w val="0.90840169731258935"/>
          <c:h val="9.6868620589093249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1.3842097633655282E-2"/>
          <c:y val="0.22910870516185478"/>
          <c:w val="0.98615790236634449"/>
          <c:h val="0.59457203266258385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-2.7684195267310588E-3"/>
                  <c:y val="1.38888888888889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104</c:v>
                </c:pt>
                <c:pt idx="1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85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88888888888891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105.1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2.7684195267311607E-3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98.5</c:v>
                </c:pt>
                <c:pt idx="1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42E-2"/>
                </c:manualLayout>
              </c:layout>
              <c:showVal val="1"/>
            </c:dLbl>
            <c:dLbl>
              <c:idx val="1"/>
              <c:layout>
                <c:manualLayout>
                  <c:x val="5.5368390534620143E-3"/>
                  <c:y val="9.259259259259286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100.5</c:v>
                </c:pt>
                <c:pt idx="1">
                  <c:v>101.2</c:v>
                </c:pt>
              </c:numCache>
            </c:numRef>
          </c:val>
        </c:ser>
        <c:dLbls>
          <c:showVal val="1"/>
        </c:dLbls>
        <c:overlap val="-25"/>
        <c:axId val="60573184"/>
        <c:axId val="60574720"/>
      </c:barChart>
      <c:catAx>
        <c:axId val="60573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0574720"/>
        <c:crosses val="autoZero"/>
        <c:auto val="1"/>
        <c:lblAlgn val="ctr"/>
        <c:lblOffset val="100"/>
      </c:catAx>
      <c:valAx>
        <c:axId val="60574720"/>
        <c:scaling>
          <c:orientation val="minMax"/>
        </c:scaling>
        <c:delete val="1"/>
        <c:axPos val="l"/>
        <c:numFmt formatCode="0.0" sourceLinked="1"/>
        <c:tickLblPos val="nextTo"/>
        <c:crossAx val="605731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7428814015614383E-2"/>
          <c:y val="9.6990740740740738E-2"/>
          <c:w val="0.91683689540278868"/>
          <c:h val="0.1200167687372411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6587034013736898"/>
          <c:w val="0.98885664823772657"/>
          <c:h val="0.68656001751725149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dLbl>
              <c:idx val="0"/>
              <c:layout>
                <c:manualLayout>
                  <c:x val="-5.5716758811364181E-3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6358021709799681E-2"/>
                </c:manualLayout>
              </c:layout>
              <c:showVal val="1"/>
            </c:dLbl>
            <c:dLbl>
              <c:idx val="2"/>
              <c:layout>
                <c:manualLayout>
                  <c:x val="5.5716758811364181E-3"/>
                  <c:y val="1.6358021709799681E-2"/>
                </c:manualLayout>
              </c:layout>
              <c:showVal val="1"/>
            </c:dLbl>
            <c:dLbl>
              <c:idx val="3"/>
              <c:layout>
                <c:manualLayout>
                  <c:x val="1.0214621115242038E-16"/>
                  <c:y val="2.453671055639814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հունվար-հունիս</c:v>
                </c:pt>
                <c:pt idx="1">
                  <c:v>2015թ. հունվար-հունիս</c:v>
                </c:pt>
                <c:pt idx="2">
                  <c:v>2016թ. հունվար-հունիս</c:v>
                </c:pt>
                <c:pt idx="3">
                  <c:v>2017թ. հունվար-հունիս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470657</c:v>
                </c:pt>
                <c:pt idx="1">
                  <c:v>423671</c:v>
                </c:pt>
                <c:pt idx="2">
                  <c:v>398278</c:v>
                </c:pt>
                <c:pt idx="3" formatCode="#,##0.0">
                  <c:v>561454</c:v>
                </c:pt>
              </c:numCache>
            </c:numRef>
          </c:val>
        </c:ser>
        <c:dLbls>
          <c:showVal val="1"/>
        </c:dLbls>
        <c:overlap val="-25"/>
        <c:axId val="60902400"/>
        <c:axId val="60908288"/>
      </c:barChart>
      <c:catAx>
        <c:axId val="60902400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0908288"/>
        <c:crosses val="autoZero"/>
        <c:auto val="1"/>
        <c:lblAlgn val="ctr"/>
        <c:lblOffset val="100"/>
      </c:catAx>
      <c:valAx>
        <c:axId val="60908288"/>
        <c:scaling>
          <c:orientation val="minMax"/>
        </c:scaling>
        <c:delete val="1"/>
        <c:axPos val="l"/>
        <c:numFmt formatCode="#,##0.0" sourceLinked="1"/>
        <c:tickLblPos val="nextTo"/>
        <c:crossAx val="609024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3987970345502901E-2"/>
          <c:y val="0.26760693090667881"/>
          <c:w val="0.96642887117079401"/>
          <c:h val="0.71194554195607163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2752.5</c:v>
                </c:pt>
                <c:pt idx="1">
                  <c:v>-1345.6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General</c:formatCode>
                <c:ptCount val="2"/>
                <c:pt idx="0" formatCode="#,##0.0;[Red]#,##0.0">
                  <c:v>2212.1</c:v>
                </c:pt>
                <c:pt idx="1">
                  <c:v>-814.7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1"/>
              <c:layout>
                <c:manualLayout>
                  <c:x val="5.595188138201149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2269.6</c:v>
                </c:pt>
                <c:pt idx="1">
                  <c:v>-626.4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dLbl>
              <c:idx val="1"/>
              <c:layout>
                <c:manualLayout>
                  <c:x val="5.595188138201149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2815</c:v>
                </c:pt>
                <c:pt idx="1">
                  <c:v>-827.3</c:v>
                </c:pt>
              </c:numCache>
            </c:numRef>
          </c:val>
        </c:ser>
        <c:dLbls>
          <c:showVal val="1"/>
        </c:dLbls>
        <c:overlap val="-25"/>
        <c:axId val="60952576"/>
        <c:axId val="60954112"/>
      </c:barChart>
      <c:catAx>
        <c:axId val="60952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0954112"/>
        <c:crosses val="autoZero"/>
        <c:auto val="1"/>
        <c:lblAlgn val="ctr"/>
        <c:lblOffset val="100"/>
      </c:catAx>
      <c:valAx>
        <c:axId val="60954112"/>
        <c:scaling>
          <c:orientation val="minMax"/>
        </c:scaling>
        <c:delete val="1"/>
        <c:axPos val="l"/>
        <c:numFmt formatCode="#,##0.0;[Red]#,##0.0" sourceLinked="1"/>
        <c:tickLblPos val="nextTo"/>
        <c:crossAx val="609525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396953265860665E-2"/>
          <c:y val="0.13863423399055227"/>
          <c:w val="0.90721790283977821"/>
          <c:h val="0.1044356643514270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1000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1.1264312661841339E-2"/>
          <c:y val="0.23416273704569121"/>
          <c:w val="0.98873568733815864"/>
          <c:h val="0.62311356352612834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0.0">
                  <c:v>703.5</c:v>
                </c:pt>
                <c:pt idx="1">
                  <c:v>2049.1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General">
                  <c:v>698.7</c:v>
                </c:pt>
                <c:pt idx="1">
                  <c:v>1513.4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հունվար-հունիս</c:v>
                </c:pt>
              </c:strCache>
            </c:strRef>
          </c:tx>
          <c:dLbls>
            <c:dLbl>
              <c:idx val="1"/>
              <c:layout>
                <c:manualLayout>
                  <c:x val="2.8160781654603347E-3"/>
                  <c:y val="1.28019289583665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General">
                  <c:v>821.6</c:v>
                </c:pt>
                <c:pt idx="1">
                  <c:v>1448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հունվար-հունիս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#,##0.0">
                  <c:v>993.9</c:v>
                </c:pt>
                <c:pt idx="1">
                  <c:v>1821.2</c:v>
                </c:pt>
              </c:numCache>
            </c:numRef>
          </c:val>
        </c:ser>
        <c:dLbls>
          <c:showVal val="1"/>
        </c:dLbls>
        <c:overlap val="-25"/>
        <c:axId val="61027456"/>
        <c:axId val="61028992"/>
      </c:barChart>
      <c:catAx>
        <c:axId val="61027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1028992"/>
        <c:crosses val="autoZero"/>
        <c:auto val="1"/>
        <c:lblAlgn val="ctr"/>
        <c:lblOffset val="100"/>
      </c:catAx>
      <c:valAx>
        <c:axId val="61028992"/>
        <c:scaling>
          <c:orientation val="minMax"/>
        </c:scaling>
        <c:delete val="1"/>
        <c:axPos val="l"/>
        <c:numFmt formatCode="0.0" sourceLinked="1"/>
        <c:tickLblPos val="nextTo"/>
        <c:crossAx val="6102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9169873374047454E-2"/>
          <c:y val="0.11500399514265919"/>
          <c:w val="0.91602809692098464"/>
          <c:h val="0.10044171695035875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8</cp:revision>
  <cp:lastPrinted>2017-08-07T07:40:00Z</cp:lastPrinted>
  <dcterms:created xsi:type="dcterms:W3CDTF">2017-08-03T10:33:00Z</dcterms:created>
  <dcterms:modified xsi:type="dcterms:W3CDTF">2017-08-07T07:42:00Z</dcterms:modified>
</cp:coreProperties>
</file>