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FA1371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FA1371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60B7D" w:rsidRPr="00460B7D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FD5" w:rsidRDefault="00BD385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D385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A1371" w:rsidRPr="00FA137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73EF" w:rsidRDefault="00B61D27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61D27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68405" cy="3122763"/>
            <wp:effectExtent l="19050" t="0" r="22645" b="1437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45F90" w:rsidRPr="00345F90">
        <w:rPr>
          <w:rFonts w:ascii="GHEA Grapalat" w:hAnsi="GHEA Grapalat"/>
          <w:sz w:val="24"/>
          <w:szCs w:val="24"/>
        </w:rPr>
        <w:drawing>
          <wp:inline distT="0" distB="0" distL="0" distR="0">
            <wp:extent cx="4568406" cy="3122762"/>
            <wp:effectExtent l="19050" t="0" r="22644" b="143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73EF" w:rsidRDefault="002003E2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2003E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105509"/>
            <wp:effectExtent l="19050" t="0" r="22645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E0215" w:rsidRPr="005E021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3105509"/>
            <wp:effectExtent l="19050" t="0" r="22644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5573EF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7B4FE1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B4FE1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606505" cy="2976113"/>
            <wp:effectExtent l="19050" t="0" r="2264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B4FE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2976113"/>
            <wp:effectExtent l="19050" t="0" r="22644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73EF" w:rsidRDefault="006438C5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438C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200400"/>
            <wp:effectExtent l="19050" t="0" r="2264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615643" w:rsidRPr="00615643">
        <w:rPr>
          <w:rFonts w:ascii="GHEA Grapalat" w:hAnsi="GHEA Grapalat"/>
          <w:sz w:val="24"/>
          <w:szCs w:val="24"/>
        </w:rPr>
        <w:t xml:space="preserve"> </w:t>
      </w:r>
      <w:r w:rsidR="00480140" w:rsidRPr="0048014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200400"/>
            <wp:effectExtent l="19050" t="0" r="22645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4B20" w:rsidRDefault="00B84B20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B84B20" w:rsidRDefault="00B84B20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84B20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68405" cy="2976113"/>
            <wp:effectExtent l="19050" t="0" r="22645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F2E6E" w:rsidRPr="001F2E6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2976113"/>
            <wp:effectExtent l="19050" t="0" r="22644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B84B20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1B" w:rsidRDefault="00EF7F1B" w:rsidP="00AC2D9E">
      <w:pPr>
        <w:spacing w:after="0" w:line="240" w:lineRule="auto"/>
      </w:pPr>
      <w:r>
        <w:separator/>
      </w:r>
    </w:p>
  </w:endnote>
  <w:endnote w:type="continuationSeparator" w:id="1">
    <w:p w:rsidR="00EF7F1B" w:rsidRDefault="00EF7F1B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1B" w:rsidRDefault="00EF7F1B" w:rsidP="00AC2D9E">
      <w:pPr>
        <w:spacing w:after="0" w:line="240" w:lineRule="auto"/>
      </w:pPr>
      <w:r>
        <w:separator/>
      </w:r>
    </w:p>
  </w:footnote>
  <w:footnote w:type="continuationSeparator" w:id="1">
    <w:p w:rsidR="00EF7F1B" w:rsidRDefault="00EF7F1B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675D6"/>
    <w:rsid w:val="000C120D"/>
    <w:rsid w:val="001476E6"/>
    <w:rsid w:val="00194EC9"/>
    <w:rsid w:val="0019787B"/>
    <w:rsid w:val="001F2E6E"/>
    <w:rsid w:val="002003E2"/>
    <w:rsid w:val="0025031E"/>
    <w:rsid w:val="00261BD4"/>
    <w:rsid w:val="00262AB4"/>
    <w:rsid w:val="00270CA5"/>
    <w:rsid w:val="00274F9A"/>
    <w:rsid w:val="002A0970"/>
    <w:rsid w:val="002E2575"/>
    <w:rsid w:val="002F2A59"/>
    <w:rsid w:val="00304E24"/>
    <w:rsid w:val="003361C0"/>
    <w:rsid w:val="00345F90"/>
    <w:rsid w:val="003670A8"/>
    <w:rsid w:val="003D5370"/>
    <w:rsid w:val="00406E0A"/>
    <w:rsid w:val="00440FAF"/>
    <w:rsid w:val="00455B1D"/>
    <w:rsid w:val="00460B7D"/>
    <w:rsid w:val="00461DE6"/>
    <w:rsid w:val="00480140"/>
    <w:rsid w:val="004B3A6B"/>
    <w:rsid w:val="00513FFD"/>
    <w:rsid w:val="005403D8"/>
    <w:rsid w:val="005573EF"/>
    <w:rsid w:val="005B1A4E"/>
    <w:rsid w:val="005C63AF"/>
    <w:rsid w:val="005E0215"/>
    <w:rsid w:val="00615643"/>
    <w:rsid w:val="006204FF"/>
    <w:rsid w:val="00636546"/>
    <w:rsid w:val="006438C5"/>
    <w:rsid w:val="0064680E"/>
    <w:rsid w:val="006610FD"/>
    <w:rsid w:val="00672C70"/>
    <w:rsid w:val="006927B1"/>
    <w:rsid w:val="00697E19"/>
    <w:rsid w:val="006A61EA"/>
    <w:rsid w:val="006F698B"/>
    <w:rsid w:val="00795E20"/>
    <w:rsid w:val="007A7000"/>
    <w:rsid w:val="007B37F5"/>
    <w:rsid w:val="007B4FE1"/>
    <w:rsid w:val="007D095A"/>
    <w:rsid w:val="0081180D"/>
    <w:rsid w:val="00811EF3"/>
    <w:rsid w:val="00841547"/>
    <w:rsid w:val="00867138"/>
    <w:rsid w:val="008A36E5"/>
    <w:rsid w:val="008A5AC2"/>
    <w:rsid w:val="008C2FD5"/>
    <w:rsid w:val="008C5278"/>
    <w:rsid w:val="008D75B0"/>
    <w:rsid w:val="008F0973"/>
    <w:rsid w:val="008F6A42"/>
    <w:rsid w:val="008F7B11"/>
    <w:rsid w:val="00923985"/>
    <w:rsid w:val="00934D90"/>
    <w:rsid w:val="009C6F99"/>
    <w:rsid w:val="00A124D7"/>
    <w:rsid w:val="00A36CD4"/>
    <w:rsid w:val="00AC2D9E"/>
    <w:rsid w:val="00AC75A4"/>
    <w:rsid w:val="00AD6420"/>
    <w:rsid w:val="00B00B2A"/>
    <w:rsid w:val="00B049B0"/>
    <w:rsid w:val="00B55DF2"/>
    <w:rsid w:val="00B61D27"/>
    <w:rsid w:val="00B84B20"/>
    <w:rsid w:val="00BD3858"/>
    <w:rsid w:val="00C017E6"/>
    <w:rsid w:val="00C132D9"/>
    <w:rsid w:val="00C277E0"/>
    <w:rsid w:val="00CB051C"/>
    <w:rsid w:val="00CD2C49"/>
    <w:rsid w:val="00CF0868"/>
    <w:rsid w:val="00CF3581"/>
    <w:rsid w:val="00D34BAE"/>
    <w:rsid w:val="00D50656"/>
    <w:rsid w:val="00DB46EB"/>
    <w:rsid w:val="00DD1BED"/>
    <w:rsid w:val="00E0173A"/>
    <w:rsid w:val="00E07AEA"/>
    <w:rsid w:val="00E267D1"/>
    <w:rsid w:val="00E305FB"/>
    <w:rsid w:val="00E311F1"/>
    <w:rsid w:val="00E572E5"/>
    <w:rsid w:val="00E7138C"/>
    <w:rsid w:val="00EC11CC"/>
    <w:rsid w:val="00ED0F8A"/>
    <w:rsid w:val="00EF7F1B"/>
    <w:rsid w:val="00F057EC"/>
    <w:rsid w:val="00F40D2C"/>
    <w:rsid w:val="00FA1371"/>
    <w:rsid w:val="00FD223E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MacroJan-2017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makro\hunvar-2017\blank-hunvar%20-%20Copy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MacroJan-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     </a:t>
            </a:r>
            <a:r>
              <a:rPr lang="ru-RU" sz="900">
                <a:latin typeface="GHEA Grapalat" pitchFamily="50" charset="0"/>
              </a:rPr>
              <a:t>Տնտեսական ակտիվության ցուցանիշը (%)</a:t>
            </a:r>
            <a:endParaRPr lang="hy-AM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66885389326341"/>
          <c:y val="0.20373869932925051"/>
          <c:w val="0.53306714785651732"/>
          <c:h val="0.6331751239428407"/>
        </c:manualLayout>
      </c:layout>
      <c:lineChart>
        <c:grouping val="standard"/>
        <c:ser>
          <c:idx val="0"/>
          <c:order val="0"/>
          <c:tx>
            <c:strRef>
              <c:f>Лист1!$B$6</c:f>
              <c:strCache>
                <c:ptCount val="1"/>
                <c:pt idx="0">
                  <c:v>     նախորդ տարվա նույն ժամանակաշրջանի նկատմամբ</c:v>
                </c:pt>
              </c:strCache>
            </c:strRef>
          </c:tx>
          <c:dLbls>
            <c:dLbl>
              <c:idx val="0"/>
              <c:layout>
                <c:manualLayout>
                  <c:x val="-4.1666666666666692E-2"/>
                  <c:y val="5.0925925925925937E-2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Лист1!$C$5:$F$5</c:f>
              <c:strCache>
                <c:ptCount val="4"/>
                <c:pt idx="0">
                  <c:v>2014թ. հունվար</c:v>
                </c:pt>
                <c:pt idx="1">
                  <c:v>2015թ. hունվար</c:v>
                </c:pt>
                <c:pt idx="2">
                  <c:v>2016թ. hունվար</c:v>
                </c:pt>
                <c:pt idx="3">
                  <c:v>2017թ.հունվար</c:v>
                </c:pt>
              </c:strCache>
            </c:strRef>
          </c:cat>
          <c:val>
            <c:numRef>
              <c:f>Лист1!$C$6:$F$6</c:f>
              <c:numCache>
                <c:formatCode>0.00</c:formatCode>
                <c:ptCount val="4"/>
                <c:pt idx="0">
                  <c:v>102.3</c:v>
                </c:pt>
                <c:pt idx="1">
                  <c:v>102.1</c:v>
                </c:pt>
                <c:pt idx="2">
                  <c:v>104.3</c:v>
                </c:pt>
                <c:pt idx="3">
                  <c:v>106.5</c:v>
                </c:pt>
              </c:numCache>
            </c:numRef>
          </c:val>
        </c:ser>
        <c:dLbls>
          <c:showVal val="1"/>
        </c:dLbls>
        <c:marker val="1"/>
        <c:axId val="105229696"/>
        <c:axId val="105382272"/>
      </c:lineChart>
      <c:catAx>
        <c:axId val="1052296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05382272"/>
        <c:crosses val="autoZero"/>
        <c:auto val="1"/>
        <c:lblAlgn val="ctr"/>
        <c:lblOffset val="100"/>
      </c:catAx>
      <c:valAx>
        <c:axId val="10538227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5229696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en-US" sz="900" b="1" i="0" baseline="0">
                <a:latin typeface="GHEA Grapalat" pitchFamily="50" charset="0"/>
              </a:rPr>
              <a:t>ՀՀ արտահանումը և ներմուծումը 2014-2017թթ. հունվարին (մլն ԱՄՆ դոլար)</a:t>
            </a:r>
            <a:endParaRPr lang="ru-RU" sz="9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Sheet1!$A$4</c:f>
              <c:strCache>
                <c:ptCount val="1"/>
                <c:pt idx="0">
                  <c:v>Արտահանում (ՖՕԲ գներով)</c:v>
                </c:pt>
              </c:strCache>
            </c:strRef>
          </c:tx>
          <c:dLbls>
            <c:dLbl>
              <c:idx val="0"/>
              <c:layout>
                <c:manualLayout>
                  <c:x val="-4.447940922938988E-2"/>
                  <c:y val="-5.1207733039706514E-2"/>
                </c:manualLayout>
              </c:layout>
              <c:showVal val="1"/>
            </c:dLbl>
            <c:dLbl>
              <c:idx val="1"/>
              <c:layout>
                <c:manualLayout>
                  <c:x val="-4.4479409229389859E-2"/>
                  <c:y val="-5.9742355212990907E-2"/>
                </c:manualLayout>
              </c:layout>
              <c:showVal val="1"/>
            </c:dLbl>
            <c:dLbl>
              <c:idx val="2"/>
              <c:layout>
                <c:manualLayout>
                  <c:x val="-4.4479409229389859E-2"/>
                  <c:y val="-5.1207733039706514E-2"/>
                </c:manualLayout>
              </c:layout>
              <c:showVal val="1"/>
            </c:dLbl>
            <c:dLbl>
              <c:idx val="3"/>
              <c:layout>
                <c:manualLayout>
                  <c:x val="-5.559926153673735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Sheet1!$B$4:$E$4</c:f>
              <c:numCache>
                <c:formatCode>#,##0.00</c:formatCode>
                <c:ptCount val="4"/>
                <c:pt idx="0">
                  <c:v>96.89</c:v>
                </c:pt>
                <c:pt idx="1">
                  <c:v>84.45</c:v>
                </c:pt>
                <c:pt idx="2">
                  <c:v>89.740000000000023</c:v>
                </c:pt>
                <c:pt idx="3">
                  <c:v>121.47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Ներմուծում (ՍԻՖ գներով)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Sheet1!$B$5:$E$5</c:f>
              <c:numCache>
                <c:formatCode>#,##0.00</c:formatCode>
                <c:ptCount val="4"/>
                <c:pt idx="0">
                  <c:v>294.85000000000002</c:v>
                </c:pt>
                <c:pt idx="1">
                  <c:v>196.76</c:v>
                </c:pt>
                <c:pt idx="2">
                  <c:v>156.72</c:v>
                </c:pt>
                <c:pt idx="3">
                  <c:v>237.22</c:v>
                </c:pt>
              </c:numCache>
            </c:numRef>
          </c:val>
        </c:ser>
        <c:dLbls>
          <c:showVal val="1"/>
        </c:dLbls>
        <c:marker val="1"/>
        <c:axId val="115677824"/>
        <c:axId val="115704192"/>
      </c:lineChart>
      <c:catAx>
        <c:axId val="1156778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15704192"/>
        <c:crosses val="autoZero"/>
        <c:auto val="1"/>
        <c:lblAlgn val="ctr"/>
        <c:lblOffset val="100"/>
      </c:catAx>
      <c:valAx>
        <c:axId val="11570419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1567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52296665401463"/>
          <c:y val="0.18078245012874183"/>
          <c:w val="0.23679725488496442"/>
          <c:h val="0.72335425435794942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>
        <c:manualLayout>
          <c:layoutTarget val="inner"/>
          <c:xMode val="edge"/>
          <c:yMode val="edge"/>
          <c:x val="9.4483961032351502E-2"/>
          <c:y val="4.3650793650793676E-2"/>
          <c:w val="0.81152546676575299"/>
          <c:h val="0.62904949381327402"/>
        </c:manualLayout>
      </c:layout>
      <c:area3DChart>
        <c:grouping val="stacked"/>
        <c:ser>
          <c:idx val="0"/>
          <c:order val="0"/>
          <c:tx>
            <c:strRef>
              <c:f>Лист1!$B$172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4.4479418965700283E-2"/>
                  <c:y val="1.1904761904761911E-2"/>
                </c:manualLayout>
              </c:layout>
              <c:showVal val="1"/>
            </c:dLbl>
            <c:dLbl>
              <c:idx val="3"/>
              <c:layout>
                <c:manualLayout>
                  <c:x val="-5.83792373924816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Лист1!$C$171:$F$171</c:f>
              <c:strCache>
                <c:ptCount val="4"/>
                <c:pt idx="0">
                  <c:v>2014թ.հունվար 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Лист1!$C$172:$F$172</c:f>
              <c:numCache>
                <c:formatCode>#,##0.00</c:formatCode>
                <c:ptCount val="4"/>
                <c:pt idx="0">
                  <c:v>64700</c:v>
                </c:pt>
                <c:pt idx="1">
                  <c:v>73457</c:v>
                </c:pt>
                <c:pt idx="2">
                  <c:v>89405</c:v>
                </c:pt>
                <c:pt idx="3">
                  <c:v>95811</c:v>
                </c:pt>
              </c:numCache>
            </c:numRef>
          </c:val>
        </c:ser>
        <c:ser>
          <c:idx val="1"/>
          <c:order val="1"/>
          <c:tx>
            <c:strRef>
              <c:f>Лист1!$B$173</c:f>
              <c:strCache>
                <c:ptCount val="1"/>
                <c:pt idx="0">
                  <c:v>  Աշխատանք փնտրողների մեջ գործազուրկների թիվը,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5.559927370712538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1159201077837975E-2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Лист1!$C$171:$F$171</c:f>
              <c:strCache>
                <c:ptCount val="4"/>
                <c:pt idx="0">
                  <c:v>2014թ.հունվար 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Лист1!$C$173:$F$173</c:f>
              <c:numCache>
                <c:formatCode>#,##0.00</c:formatCode>
                <c:ptCount val="4"/>
                <c:pt idx="0">
                  <c:v>55900</c:v>
                </c:pt>
                <c:pt idx="1">
                  <c:v>66782</c:v>
                </c:pt>
                <c:pt idx="2">
                  <c:v>77528</c:v>
                </c:pt>
                <c:pt idx="3">
                  <c:v>80576</c:v>
                </c:pt>
              </c:numCache>
            </c:numRef>
          </c:val>
        </c:ser>
        <c:dLbls>
          <c:showVal val="1"/>
        </c:dLbls>
        <c:axId val="117409664"/>
        <c:axId val="117411200"/>
        <c:axId val="0"/>
      </c:area3DChart>
      <c:catAx>
        <c:axId val="117409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17411200"/>
        <c:crosses val="autoZero"/>
        <c:auto val="1"/>
        <c:lblAlgn val="ctr"/>
        <c:lblOffset val="100"/>
      </c:catAx>
      <c:valAx>
        <c:axId val="117411200"/>
        <c:scaling>
          <c:orientation val="minMax"/>
        </c:scaling>
        <c:delete val="1"/>
        <c:axPos val="l"/>
        <c:numFmt formatCode="#,##0.00" sourceLinked="1"/>
        <c:majorTickMark val="none"/>
        <c:tickLblPos val="nextTo"/>
        <c:crossAx val="117409664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10510407899474761"/>
          <c:y val="0.7603852643419573"/>
          <c:w val="0.76755213252765453"/>
          <c:h val="0.16818616422947133"/>
        </c:manualLayout>
      </c:layout>
      <c:txPr>
        <a:bodyPr/>
        <a:lstStyle/>
        <a:p>
          <a:pPr>
            <a:defRPr lang="ru-RU"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>
                <a:latin typeface="GHEA Grapalat" pitchFamily="50" charset="0"/>
              </a:rPr>
              <a:t>Միջին ամսական անվանական աշխատավարձը ժամանակաշրջանի վերջին ամսվա դրությամբ, ըստ տնտեսության հատվածների, դրամ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Лист1!$B$195</c:f>
              <c:strCache>
                <c:ptCount val="1"/>
                <c:pt idx="0">
                  <c:v>Միջին ամսական անվանական աշխատավարձը ժամանակաշրջանի վերջին ամսվա դրությամբ, ըստ տնտեսության հատվածների, դրամ</c:v>
                </c:pt>
              </c:strCache>
            </c:strRef>
          </c:tx>
          <c:dLbls>
            <c:dLbl>
              <c:idx val="0"/>
              <c:layout>
                <c:manualLayout>
                  <c:x val="1.1119854741425083E-2"/>
                  <c:y val="-1.9841269841269851E-2"/>
                </c:manualLayout>
              </c:layout>
              <c:showVal val="1"/>
            </c:dLbl>
            <c:dLbl>
              <c:idx val="1"/>
              <c:layout>
                <c:manualLayout>
                  <c:x val="5.559927370712538E-3"/>
                  <c:y val="1.5873015873015799E-2"/>
                </c:manualLayout>
              </c:layout>
              <c:showVal val="1"/>
            </c:dLbl>
            <c:dLbl>
              <c:idx val="3"/>
              <c:layout>
                <c:manualLayout>
                  <c:x val="-3.8919491594987747E-2"/>
                  <c:y val="-3.9682539682539646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Лист1!$C$194:$F$194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Лист1!$C$195:$F$195</c:f>
              <c:numCache>
                <c:formatCode>#,##0.00</c:formatCode>
                <c:ptCount val="4"/>
                <c:pt idx="0">
                  <c:v>155940</c:v>
                </c:pt>
                <c:pt idx="1">
                  <c:v>173217</c:v>
                </c:pt>
                <c:pt idx="2">
                  <c:v>177539</c:v>
                </c:pt>
                <c:pt idx="3">
                  <c:v>188572</c:v>
                </c:pt>
              </c:numCache>
            </c:numRef>
          </c:val>
        </c:ser>
        <c:dLbls>
          <c:showVal val="1"/>
        </c:dLbls>
        <c:marker val="1"/>
        <c:axId val="117521408"/>
        <c:axId val="117531392"/>
      </c:lineChart>
      <c:catAx>
        <c:axId val="117521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>
                <a:latin typeface="GHEA Grapalat" pitchFamily="50" charset="0"/>
              </a:defRPr>
            </a:pPr>
            <a:endParaRPr lang="en-US"/>
          </a:p>
        </c:txPr>
        <c:crossAx val="117531392"/>
        <c:crosses val="autoZero"/>
        <c:auto val="1"/>
        <c:lblAlgn val="ctr"/>
        <c:lblOffset val="100"/>
      </c:catAx>
      <c:valAx>
        <c:axId val="117531392"/>
        <c:scaling>
          <c:orientation val="minMax"/>
          <c:min val="150000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1752140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>
                <a:latin typeface="GHEA Grapalat" pitchFamily="50" charset="0"/>
              </a:rPr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  <a:endParaRPr lang="ru-RU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709951881014874"/>
          <c:y val="0.21209913736474398"/>
          <c:w val="0.62402537182852225"/>
          <c:h val="0.65316572321010702"/>
        </c:manualLayout>
      </c:layout>
      <c:lineChart>
        <c:grouping val="standard"/>
        <c:ser>
          <c:idx val="0"/>
          <c:order val="0"/>
          <c:tx>
            <c:strRef>
              <c:f>Лист1!$B$226</c:f>
              <c:strCache>
                <c:ptCount val="1"/>
                <c:pt idx="0">
                  <c:v>Ներհոսք</c:v>
                </c:pt>
              </c:strCache>
            </c:strRef>
          </c:tx>
          <c:dLbls>
            <c:dLbl>
              <c:idx val="0"/>
              <c:layout>
                <c:manualLayout>
                  <c:x val="-2.501967316820642E-2"/>
                  <c:y val="-1.7069244346568833E-2"/>
                </c:manualLayout>
              </c:layout>
              <c:showVal val="1"/>
            </c:dLbl>
            <c:dLbl>
              <c:idx val="1"/>
              <c:layout>
                <c:manualLayout>
                  <c:x val="-2.7799636853562681E-2"/>
                  <c:y val="-5.1207733039706514E-2"/>
                </c:manualLayout>
              </c:layout>
              <c:showVal val="1"/>
            </c:dLbl>
            <c:dLbl>
              <c:idx val="2"/>
              <c:layout>
                <c:manualLayout>
                  <c:x val="-5.5599273707125384E-2"/>
                  <c:y val="-4.6940421953064304E-2"/>
                </c:manualLayout>
              </c:layout>
              <c:showVal val="1"/>
            </c:dLbl>
            <c:dLbl>
              <c:idx val="3"/>
              <c:layout>
                <c:manualLayout>
                  <c:x val="-1.1119854741425083E-2"/>
                  <c:y val="-8.5346221732844167E-3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Лист1!$C$225:$F$225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Лист1!$C$226:$F$226</c:f>
              <c:numCache>
                <c:formatCode>#,##0</c:formatCode>
                <c:ptCount val="4"/>
                <c:pt idx="0">
                  <c:v>122505.57886470569</c:v>
                </c:pt>
                <c:pt idx="1">
                  <c:v>72169.493277997637</c:v>
                </c:pt>
                <c:pt idx="2">
                  <c:v>62515.960695502879</c:v>
                </c:pt>
                <c:pt idx="3">
                  <c:v>84327.959150736424</c:v>
                </c:pt>
              </c:numCache>
            </c:numRef>
          </c:val>
        </c:ser>
        <c:ser>
          <c:idx val="1"/>
          <c:order val="1"/>
          <c:tx>
            <c:strRef>
              <c:f>Лист1!$B$227</c:f>
              <c:strCache>
                <c:ptCount val="1"/>
                <c:pt idx="0">
                  <c:v> Արտահոսք</c:v>
                </c:pt>
              </c:strCache>
            </c:strRef>
          </c:tx>
          <c:dLbls>
            <c:dLbl>
              <c:idx val="0"/>
              <c:layout>
                <c:manualLayout>
                  <c:x val="-7.7838983189975494E-2"/>
                  <c:y val="3.4138488693137729E-2"/>
                </c:manualLayout>
              </c:layout>
              <c:showVal val="1"/>
            </c:dLbl>
            <c:dLbl>
              <c:idx val="1"/>
              <c:layout>
                <c:manualLayout>
                  <c:x val="-5.559927370712538E-3"/>
                  <c:y val="-3.8405799779779974E-2"/>
                </c:manualLayout>
              </c:layout>
              <c:showVal val="1"/>
            </c:dLbl>
            <c:dLbl>
              <c:idx val="2"/>
              <c:layout>
                <c:manualLayout>
                  <c:x val="-5.559927370712538E-3"/>
                  <c:y val="-2.9871177606495571E-2"/>
                </c:manualLayout>
              </c:layout>
              <c:showVal val="1"/>
            </c:dLbl>
            <c:dLbl>
              <c:idx val="3"/>
              <c:layout>
                <c:manualLayout>
                  <c:x val="-3.6139527909631479E-2"/>
                  <c:y val="-3.8405799779779898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Лист1!$C$225:$F$225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Лист1!$C$227:$F$227</c:f>
              <c:numCache>
                <c:formatCode>#,##0</c:formatCode>
                <c:ptCount val="4"/>
                <c:pt idx="0">
                  <c:v>54231.604834730431</c:v>
                </c:pt>
                <c:pt idx="1">
                  <c:v>44146.050655443505</c:v>
                </c:pt>
                <c:pt idx="2">
                  <c:v>42519.080961469139</c:v>
                </c:pt>
                <c:pt idx="3">
                  <c:v>42647.115320907134</c:v>
                </c:pt>
              </c:numCache>
            </c:numRef>
          </c:val>
        </c:ser>
        <c:ser>
          <c:idx val="2"/>
          <c:order val="2"/>
          <c:tx>
            <c:strRef>
              <c:f>Лист1!$B$228</c:f>
              <c:strCache>
                <c:ptCount val="1"/>
                <c:pt idx="0">
                  <c:v>Զուտ Ներհոսք</c:v>
                </c:pt>
              </c:strCache>
            </c:strRef>
          </c:tx>
          <c:dLbls>
            <c:dLbl>
              <c:idx val="0"/>
              <c:layout>
                <c:manualLayout>
                  <c:x val="-1.6679782112137605E-2"/>
                  <c:y val="-2.5603866519853274E-2"/>
                </c:manualLayout>
              </c:layout>
              <c:showVal val="1"/>
            </c:dLbl>
            <c:dLbl>
              <c:idx val="1"/>
              <c:layout>
                <c:manualLayout>
                  <c:x val="-0.11119854741425075"/>
                  <c:y val="1.2801933259926623E-2"/>
                </c:manualLayout>
              </c:layout>
              <c:showVal val="1"/>
            </c:dLbl>
            <c:dLbl>
              <c:idx val="2"/>
              <c:layout>
                <c:manualLayout>
                  <c:x val="-7.5059019504619226E-2"/>
                  <c:y val="3.4138488693137639E-2"/>
                </c:manualLayout>
              </c:layout>
              <c:showVal val="1"/>
            </c:dLbl>
            <c:dLbl>
              <c:idx val="3"/>
              <c:layout>
                <c:manualLayout>
                  <c:x val="-2.501967316820642E-2"/>
                  <c:y val="5.1207733039706438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Лист1!$C$225:$F$225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Лист1!$C$228:$F$228</c:f>
              <c:numCache>
                <c:formatCode>#,##0</c:formatCode>
                <c:ptCount val="4"/>
                <c:pt idx="0">
                  <c:v>68273.974029975259</c:v>
                </c:pt>
                <c:pt idx="1">
                  <c:v>28023.442622554252</c:v>
                </c:pt>
                <c:pt idx="2">
                  <c:v>19996.87973403373</c:v>
                </c:pt>
                <c:pt idx="3">
                  <c:v>41680.843829829246</c:v>
                </c:pt>
              </c:numCache>
            </c:numRef>
          </c:val>
        </c:ser>
        <c:dLbls>
          <c:showVal val="1"/>
        </c:dLbls>
        <c:marker val="1"/>
        <c:axId val="117668480"/>
        <c:axId val="119800192"/>
      </c:lineChart>
      <c:catAx>
        <c:axId val="117668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19800192"/>
        <c:crosses val="autoZero"/>
        <c:auto val="1"/>
        <c:lblAlgn val="ctr"/>
        <c:lblOffset val="100"/>
      </c:catAx>
      <c:valAx>
        <c:axId val="1198001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1766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24916573727543"/>
          <c:y val="0.26065106445027703"/>
          <c:w val="0.20108418583728901"/>
          <c:h val="0.54281824146981661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>
                <a:latin typeface="GHEA Grapalat" pitchFamily="50" charset="0"/>
              </a:rPr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  <a:endParaRPr lang="ru-RU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01618547681557"/>
          <c:y val="0.25903944298629306"/>
          <c:w val="0.65574097398523723"/>
          <c:h val="0.61551326917468652"/>
        </c:manualLayout>
      </c:layout>
      <c:lineChart>
        <c:grouping val="standard"/>
        <c:ser>
          <c:idx val="0"/>
          <c:order val="0"/>
          <c:tx>
            <c:strRef>
              <c:f>Лист1!$B$249</c:f>
              <c:strCache>
                <c:ptCount val="1"/>
                <c:pt idx="0">
                  <c:v>Ներհոսք</c:v>
                </c:pt>
              </c:strCache>
            </c:strRef>
          </c:tx>
          <c:dLbls>
            <c:dLbl>
              <c:idx val="0"/>
              <c:layout>
                <c:manualLayout>
                  <c:x val="-3.6139519998879308E-2"/>
                  <c:y val="-3.4138488693137681E-2"/>
                </c:manualLayout>
              </c:layout>
              <c:showVal val="1"/>
            </c:dLbl>
            <c:dLbl>
              <c:idx val="1"/>
              <c:layout>
                <c:manualLayout>
                  <c:x val="-2.5019667691531796E-2"/>
                  <c:y val="-2.5603866519853274E-2"/>
                </c:manualLayout>
              </c:layout>
              <c:showVal val="1"/>
            </c:dLbl>
            <c:dLbl>
              <c:idx val="2"/>
              <c:layout>
                <c:manualLayout>
                  <c:x val="-5.8379224613574185E-2"/>
                  <c:y val="-4.2673110866422073E-2"/>
                </c:manualLayout>
              </c:layout>
              <c:showVal val="1"/>
            </c:dLbl>
            <c:dLbl>
              <c:idx val="3"/>
              <c:layout>
                <c:manualLayout>
                  <c:x val="-1.3899815384184337E-2"/>
                  <c:y val="-2.560386651985327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Лист1!$C$248:$F$248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Лист1!$C$249:$F$249</c:f>
              <c:numCache>
                <c:formatCode>#,##0</c:formatCode>
                <c:ptCount val="4"/>
                <c:pt idx="0">
                  <c:v>49886.346038144249</c:v>
                </c:pt>
                <c:pt idx="1">
                  <c:v>34290.533172567688</c:v>
                </c:pt>
                <c:pt idx="2">
                  <c:v>30377.926022505671</c:v>
                </c:pt>
                <c:pt idx="3">
                  <c:v>40981.629751676308</c:v>
                </c:pt>
              </c:numCache>
            </c:numRef>
          </c:val>
        </c:ser>
        <c:ser>
          <c:idx val="1"/>
          <c:order val="1"/>
          <c:tx>
            <c:strRef>
              <c:f>Лист1!$B$250</c:f>
              <c:strCache>
                <c:ptCount val="1"/>
                <c:pt idx="0">
                  <c:v> Արտահոսք</c:v>
                </c:pt>
              </c:strCache>
            </c:strRef>
          </c:tx>
          <c:dLbls>
            <c:dLbl>
              <c:idx val="0"/>
              <c:layout>
                <c:manualLayout>
                  <c:x val="-4.7259372306226725E-2"/>
                  <c:y val="4.2673110866422073E-2"/>
                </c:manualLayout>
              </c:layout>
              <c:showVal val="1"/>
            </c:dLbl>
            <c:dLbl>
              <c:idx val="1"/>
              <c:layout>
                <c:manualLayout>
                  <c:x val="-1.1119852307347465E-2"/>
                  <c:y val="-2.9871177606495491E-2"/>
                </c:manualLayout>
              </c:layout>
              <c:showVal val="1"/>
            </c:dLbl>
            <c:dLbl>
              <c:idx val="2"/>
              <c:layout>
                <c:manualLayout>
                  <c:x val="-1.1119852307347465E-2"/>
                  <c:y val="-3.4138488693137639E-2"/>
                </c:manualLayout>
              </c:layout>
              <c:showVal val="1"/>
            </c:dLbl>
            <c:dLbl>
              <c:idx val="3"/>
              <c:layout>
                <c:manualLayout>
                  <c:x val="-1.9459741537858063E-2"/>
                  <c:y val="-3.413848869313772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Лист1!$C$248:$F$248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Лист1!$C$250:$F$250</c:f>
              <c:numCache>
                <c:formatCode>#,##0</c:formatCode>
                <c:ptCount val="4"/>
                <c:pt idx="0">
                  <c:v>22089.543460780587</c:v>
                </c:pt>
                <c:pt idx="1">
                  <c:v>20998.944264107195</c:v>
                </c:pt>
                <c:pt idx="2">
                  <c:v>20667.586209236277</c:v>
                </c:pt>
                <c:pt idx="3">
                  <c:v>20727.520416757801</c:v>
                </c:pt>
              </c:numCache>
            </c:numRef>
          </c:val>
        </c:ser>
        <c:ser>
          <c:idx val="2"/>
          <c:order val="2"/>
          <c:tx>
            <c:strRef>
              <c:f>Лист1!$B$251</c:f>
              <c:strCache>
                <c:ptCount val="1"/>
                <c:pt idx="0">
                  <c:v>Զուտ Ներհոսք</c:v>
                </c:pt>
              </c:strCache>
            </c:strRef>
          </c:tx>
          <c:dLbls>
            <c:dLbl>
              <c:idx val="0"/>
              <c:layout>
                <c:manualLayout>
                  <c:x val="-5.8379224613574185E-2"/>
                  <c:y val="-4.2673110866422073E-2"/>
                </c:manualLayout>
              </c:layout>
              <c:showVal val="1"/>
            </c:dLbl>
            <c:dLbl>
              <c:idx val="1"/>
              <c:layout>
                <c:manualLayout>
                  <c:x val="-3.3359556922042378E-2"/>
                  <c:y val="5.9742355212990907E-2"/>
                </c:manualLayout>
              </c:layout>
              <c:showVal val="1"/>
            </c:dLbl>
            <c:dLbl>
              <c:idx val="2"/>
              <c:layout>
                <c:manualLayout>
                  <c:x val="-1.6679778461021203E-2"/>
                  <c:y val="5.1207733039706514E-2"/>
                </c:manualLayout>
              </c:layout>
              <c:showVal val="1"/>
            </c:dLbl>
            <c:dLbl>
              <c:idx val="3"/>
              <c:layout>
                <c:manualLayout>
                  <c:x val="-1.9459741537858063E-2"/>
                  <c:y val="4.267311086642207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Лист1!$C$248:$F$248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Лист1!$C$251:$F$251</c:f>
              <c:numCache>
                <c:formatCode>#,##0</c:formatCode>
                <c:ptCount val="4"/>
                <c:pt idx="0">
                  <c:v>27796.802577363607</c:v>
                </c:pt>
                <c:pt idx="1">
                  <c:v>13291.588908460531</c:v>
                </c:pt>
                <c:pt idx="2">
                  <c:v>9710.3398132693874</c:v>
                </c:pt>
                <c:pt idx="3">
                  <c:v>20254.10933491851</c:v>
                </c:pt>
              </c:numCache>
            </c:numRef>
          </c:val>
        </c:ser>
        <c:dLbls>
          <c:showVal val="1"/>
        </c:dLbls>
        <c:marker val="1"/>
        <c:axId val="119843456"/>
        <c:axId val="119861632"/>
      </c:lineChart>
      <c:catAx>
        <c:axId val="119843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19861632"/>
        <c:crosses val="autoZero"/>
        <c:auto val="1"/>
        <c:lblAlgn val="ctr"/>
        <c:lblOffset val="100"/>
      </c:catAx>
      <c:valAx>
        <c:axId val="11986163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1984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09706186359131"/>
          <c:y val="0.23834973753280875"/>
          <c:w val="0.18623629335921552"/>
          <c:h val="0.65686533974919903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 sz="900" b="1">
                <a:latin typeface="GHEA Grapalat" pitchFamily="50" charset="0"/>
              </a:defRPr>
            </a:pPr>
            <a:r>
              <a:rPr lang="hy-AM"/>
              <a:t>ՀՆԱ </a:t>
            </a:r>
            <a:r>
              <a:rPr lang="en-US"/>
              <a:t>(</a:t>
            </a:r>
            <a:r>
              <a:rPr lang="ru-RU"/>
              <a:t>տարեկան</a:t>
            </a:r>
            <a:r>
              <a:rPr lang="en-US"/>
              <a:t>)</a:t>
            </a:r>
            <a:r>
              <a:rPr lang="hy-AM"/>
              <a:t>, մլն դրամ (շուկայական գներով)
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Лист1!$B$26</c:f>
              <c:strCache>
                <c:ptCount val="1"/>
                <c:pt idx="0">
                  <c:v>ՀՆԱ, մլն դրամ (շուկայական գներով)
</c:v>
                </c:pt>
              </c:strCache>
            </c:strRef>
          </c:tx>
          <c:dLbls>
            <c:dLbl>
              <c:idx val="0"/>
              <c:layout>
                <c:manualLayout>
                  <c:x val="-0.11944444444444446"/>
                  <c:y val="-8.79629629629630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4 525 875,</a:t>
                    </a:r>
                    <a:r>
                      <a:rPr lang="en-US" baseline="0"/>
                      <a:t> </a:t>
                    </a:r>
                    <a:r>
                      <a:rPr lang="en-US"/>
                      <a:t>00 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6111111111111142E-2"/>
                  <c:y val="-5.09259259259259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en-US" baseline="0"/>
                      <a:t> </a:t>
                    </a:r>
                    <a:r>
                      <a:rPr lang="en-US"/>
                      <a:t>986 309,30  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6111111111111142E-2"/>
                  <c:y val="-5.5555555555555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5 067</a:t>
                    </a:r>
                    <a:r>
                      <a:rPr lang="en-US" baseline="0"/>
                      <a:t> </a:t>
                    </a:r>
                    <a:r>
                      <a:rPr lang="en-US"/>
                      <a:t>868, 20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Лист1!$C$25:$E$25</c:f>
              <c:strCache>
                <c:ptCount val="3"/>
                <c:pt idx="0">
                  <c:v>2014թ.</c:v>
                </c:pt>
                <c:pt idx="1">
                  <c:v>2015թ.</c:v>
                </c:pt>
                <c:pt idx="2">
                  <c:v>2016թ.</c:v>
                </c:pt>
              </c:strCache>
            </c:strRef>
          </c:cat>
          <c:val>
            <c:numRef>
              <c:f>Лист1!$C$26:$E$26</c:f>
              <c:numCache>
                <c:formatCode>#,##0.00_р_.;\-#,##0.00_р_.</c:formatCode>
                <c:ptCount val="3"/>
                <c:pt idx="0">
                  <c:v>4525875</c:v>
                </c:pt>
                <c:pt idx="1">
                  <c:v>4986309.3</c:v>
                </c:pt>
                <c:pt idx="2" formatCode="_(* #,##0.0_);_(* \(#,##0.0\);_(* &quot;-&quot;??_);_(@_)">
                  <c:v>5067868.2</c:v>
                </c:pt>
              </c:numCache>
            </c:numRef>
          </c:val>
        </c:ser>
        <c:dLbls>
          <c:showVal val="1"/>
        </c:dLbls>
        <c:marker val="1"/>
        <c:axId val="105672704"/>
        <c:axId val="115471488"/>
      </c:lineChart>
      <c:catAx>
        <c:axId val="1056727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15471488"/>
        <c:crosses val="autoZero"/>
        <c:auto val="1"/>
        <c:lblAlgn val="ctr"/>
        <c:lblOffset val="100"/>
      </c:catAx>
      <c:valAx>
        <c:axId val="115471488"/>
        <c:scaling>
          <c:orientation val="minMax"/>
        </c:scaling>
        <c:axPos val="l"/>
        <c:majorGridlines/>
        <c:numFmt formatCode="#,##0.00_р_.;\-#,##0.00_р_.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56727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  <a:endParaRPr lang="ru-RU" sz="9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Лист1!$B$46</c:f>
              <c:strCache>
                <c:ptCount val="1"/>
                <c:pt idx="0">
                  <c:v>Արդյունաբերական արտադրանք</c:v>
                </c:pt>
              </c:strCache>
            </c:strRef>
          </c:tx>
          <c:dLbls>
            <c:dLbl>
              <c:idx val="0"/>
              <c:layout>
                <c:manualLayout>
                  <c:x val="-7.2222222222222326E-2"/>
                  <c:y val="-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-5.8333333333333473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5.2777996500437532E-2"/>
                  <c:y val="-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-1.9444444444444445E-2"/>
                  <c:y val="1.388888888888896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Лист1!$C$45:$F$45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Лист1!$C$46:$F$46</c:f>
              <c:numCache>
                <c:formatCode>#,##0.00</c:formatCode>
                <c:ptCount val="4"/>
                <c:pt idx="0">
                  <c:v>87916.800000000003</c:v>
                </c:pt>
                <c:pt idx="1">
                  <c:v>87042.9</c:v>
                </c:pt>
                <c:pt idx="2">
                  <c:v>94430.399999999994</c:v>
                </c:pt>
                <c:pt idx="3">
                  <c:v>108122.5</c:v>
                </c:pt>
              </c:numCache>
            </c:numRef>
          </c:val>
        </c:ser>
        <c:ser>
          <c:idx val="1"/>
          <c:order val="1"/>
          <c:tx>
            <c:strRef>
              <c:f>Лист1!$B$47</c:f>
              <c:strCache>
                <c:ptCount val="1"/>
                <c:pt idx="0">
                  <c:v>Գյուղատնտեսության համախառն արտադրանք</c:v>
                </c:pt>
              </c:strCache>
            </c:strRef>
          </c:tx>
          <c:dLbls>
            <c:dLbl>
              <c:idx val="0"/>
              <c:layout>
                <c:manualLayout>
                  <c:x val="-7.5000000000000011E-2"/>
                  <c:y val="-6.944480898221056E-2"/>
                </c:manualLayout>
              </c:layout>
              <c:showVal val="1"/>
            </c:dLbl>
            <c:dLbl>
              <c:idx val="1"/>
              <c:layout>
                <c:manualLayout>
                  <c:x val="-7.2222222222222326E-2"/>
                  <c:y val="-6.4814814814814936E-2"/>
                </c:manualLayout>
              </c:layout>
              <c:showVal val="1"/>
            </c:dLbl>
            <c:dLbl>
              <c:idx val="2"/>
              <c:layout>
                <c:manualLayout>
                  <c:x val="-6.1111111111111192E-2"/>
                  <c:y val="-6.4814814814814936E-2"/>
                </c:manualLayout>
              </c:layout>
              <c:showVal val="1"/>
            </c:dLbl>
            <c:dLbl>
              <c:idx val="3"/>
              <c:layout>
                <c:manualLayout>
                  <c:x val="-4.7222222222222297E-2"/>
                  <c:y val="-6.481517935258092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Лист1!$C$45:$F$45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Лист1!$C$47:$F$47</c:f>
              <c:numCache>
                <c:formatCode>#,##0.00</c:formatCode>
                <c:ptCount val="4"/>
                <c:pt idx="0">
                  <c:v>15952.9</c:v>
                </c:pt>
                <c:pt idx="1">
                  <c:v>16998.59999999998</c:v>
                </c:pt>
                <c:pt idx="2">
                  <c:v>16012.2</c:v>
                </c:pt>
                <c:pt idx="3">
                  <c:v>16016.9</c:v>
                </c:pt>
              </c:numCache>
            </c:numRef>
          </c:val>
        </c:ser>
        <c:ser>
          <c:idx val="2"/>
          <c:order val="2"/>
          <c:tx>
            <c:strRef>
              <c:f>Лист1!$B$48</c:f>
              <c:strCache>
                <c:ptCount val="1"/>
                <c:pt idx="0">
                  <c:v>Իրականացված շինարարության ծավալ</c:v>
                </c:pt>
              </c:strCache>
            </c:strRef>
          </c:tx>
          <c:dLbls>
            <c:dLbl>
              <c:idx val="0"/>
              <c:layout>
                <c:manualLayout>
                  <c:x val="-3.0555555555555582E-2"/>
                  <c:y val="5.5555555555555462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4.7222440944882024E-2"/>
                  <c:y val="4.629629629629639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88888888888891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Лист1!$C$45:$F$45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Лист1!$C$48:$F$48</c:f>
              <c:numCache>
                <c:formatCode>#,##0.00</c:formatCode>
                <c:ptCount val="4"/>
                <c:pt idx="0">
                  <c:v>7221.1</c:v>
                </c:pt>
                <c:pt idx="1">
                  <c:v>7672</c:v>
                </c:pt>
                <c:pt idx="2">
                  <c:v>8247.6</c:v>
                </c:pt>
                <c:pt idx="3">
                  <c:v>7556.2</c:v>
                </c:pt>
              </c:numCache>
            </c:numRef>
          </c:val>
        </c:ser>
        <c:dLbls>
          <c:showVal val="1"/>
        </c:dLbls>
        <c:marker val="1"/>
        <c:axId val="117398912"/>
        <c:axId val="117422336"/>
      </c:lineChart>
      <c:catAx>
        <c:axId val="117398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ru-RU" sz="600">
                <a:latin typeface="GHEA Grapalat" pitchFamily="50" charset="0"/>
              </a:defRPr>
            </a:pPr>
            <a:endParaRPr lang="en-US"/>
          </a:p>
        </c:txPr>
        <c:crossAx val="117422336"/>
        <c:crossesAt val="0"/>
        <c:auto val="1"/>
        <c:lblAlgn val="ctr"/>
        <c:lblOffset val="100"/>
      </c:catAx>
      <c:valAx>
        <c:axId val="117422336"/>
        <c:scaling>
          <c:orientation val="minMax"/>
          <c:min val="0"/>
        </c:scaling>
        <c:axPos val="l"/>
        <c:majorGridlines>
          <c:spPr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</a:ln>
          </c:spPr>
        </c:majorGridlines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17398912"/>
        <c:crosses val="autoZero"/>
        <c:crossBetween val="between"/>
        <c:minorUnit val="4000"/>
      </c:valAx>
    </c:plotArea>
    <c:legend>
      <c:legendPos val="r"/>
      <c:layout>
        <c:manualLayout>
          <c:xMode val="edge"/>
          <c:yMode val="edge"/>
          <c:x val="0.69269444444444572"/>
          <c:y val="0.15774496937882795"/>
          <c:w val="0.29063888888888934"/>
          <c:h val="0.79550524934383204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en-US" sz="900" b="1" i="0" baseline="0">
                <a:latin typeface="GHEA Grapalat" pitchFamily="50" charset="0"/>
              </a:rPr>
              <a:t>Առևտրի շրջանառությունը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18219685039370079"/>
          <c:y val="0.20371536891221945"/>
          <c:w val="0.55558092738407694"/>
          <c:h val="0.6339391951006127"/>
        </c:manualLayout>
      </c:layout>
      <c:lineChart>
        <c:grouping val="standard"/>
        <c:ser>
          <c:idx val="0"/>
          <c:order val="0"/>
          <c:tx>
            <c:strRef>
              <c:f>Лист1!$B$70</c:f>
              <c:strCache>
                <c:ptCount val="1"/>
                <c:pt idx="0">
                  <c:v>Առևտրի շրջանառություն</c:v>
                </c:pt>
              </c:strCache>
            </c:strRef>
          </c:tx>
          <c:dLbls>
            <c:dLbl>
              <c:idx val="0"/>
              <c:layout>
                <c:manualLayout>
                  <c:x val="-1.3888888888888907E-2"/>
                  <c:y val="-3.2407407407407447E-2"/>
                </c:manualLayout>
              </c:layout>
              <c:showVal val="1"/>
            </c:dLbl>
            <c:dLbl>
              <c:idx val="1"/>
              <c:layout>
                <c:manualLayout>
                  <c:x val="-8.3333333333332985E-3"/>
                  <c:y val="-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1.6666666666666684E-2"/>
                  <c:y val="-5.555555555555549E-2"/>
                </c:manualLayout>
              </c:layout>
              <c:showVal val="1"/>
            </c:dLbl>
            <c:dLbl>
              <c:idx val="3"/>
              <c:layout>
                <c:manualLayout>
                  <c:x val="-1.1111111111111124E-2"/>
                  <c:y val="-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Лист1!$C$69:$F$69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Лист1!$C$70:$F$70</c:f>
              <c:numCache>
                <c:formatCode>#,##0.00</c:formatCode>
                <c:ptCount val="4"/>
                <c:pt idx="0">
                  <c:v>124986.4</c:v>
                </c:pt>
                <c:pt idx="1">
                  <c:v>120502</c:v>
                </c:pt>
                <c:pt idx="2">
                  <c:v>118175.4</c:v>
                </c:pt>
                <c:pt idx="3">
                  <c:v>128759.3</c:v>
                </c:pt>
              </c:numCache>
            </c:numRef>
          </c:val>
        </c:ser>
        <c:ser>
          <c:idx val="1"/>
          <c:order val="1"/>
          <c:tx>
            <c:strRef>
              <c:f>Лист1!$B$71</c:f>
              <c:strCache>
                <c:ptCount val="1"/>
                <c:pt idx="0">
                  <c:v>Այլ ծառայություններ</c:v>
                </c:pt>
              </c:strCache>
            </c:strRef>
          </c:tx>
          <c:dLbls>
            <c:dLbl>
              <c:idx val="0"/>
              <c:layout>
                <c:manualLayout>
                  <c:x val="-7.5000000000000011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6.9444444444444434E-2"/>
                  <c:y val="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0.05"/>
                  <c:y val="5.555555555555549E-2"/>
                </c:manualLayout>
              </c:layout>
              <c:showVal val="1"/>
            </c:dLbl>
            <c:dLbl>
              <c:idx val="3"/>
              <c:layout>
                <c:manualLayout>
                  <c:x val="-2.7777777777777832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Лист1!$C$69:$F$69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Лист1!$C$71:$F$71</c:f>
              <c:numCache>
                <c:formatCode>#,##0.00</c:formatCode>
                <c:ptCount val="4"/>
                <c:pt idx="0">
                  <c:v>78401.100000000006</c:v>
                </c:pt>
                <c:pt idx="1">
                  <c:v>83863.100000000006</c:v>
                </c:pt>
                <c:pt idx="2">
                  <c:v>85139.8</c:v>
                </c:pt>
                <c:pt idx="3">
                  <c:v>96220.5</c:v>
                </c:pt>
              </c:numCache>
            </c:numRef>
          </c:val>
        </c:ser>
        <c:dLbls>
          <c:showVal val="1"/>
        </c:dLbls>
        <c:marker val="1"/>
        <c:axId val="117619712"/>
        <c:axId val="119846016"/>
      </c:lineChart>
      <c:catAx>
        <c:axId val="1176197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19846016"/>
        <c:crosses val="autoZero"/>
        <c:auto val="1"/>
        <c:lblAlgn val="ctr"/>
        <c:lblOffset val="100"/>
      </c:catAx>
      <c:valAx>
        <c:axId val="11984601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1761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66666666666679"/>
          <c:y val="0.22139982502187228"/>
          <c:w val="0.25666666666666682"/>
          <c:h val="0.64470034995625547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 b="1" i="0" baseline="0">
                <a:latin typeface="GHEA Grapalat" pitchFamily="50" charset="0"/>
              </a:rPr>
              <a:t>նախորդ տարվա նույն ժամանակաշրջանի նկատմամբ (իրական աճը, %)</a:t>
            </a:r>
            <a:endParaRPr lang="en-US" sz="9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77404148712746"/>
          <c:y val="0.17895434267666183"/>
          <c:w val="0.54255478662684242"/>
          <c:h val="0.67843284937089365"/>
        </c:manualLayout>
      </c:layout>
      <c:lineChart>
        <c:grouping val="standard"/>
        <c:ser>
          <c:idx val="0"/>
          <c:order val="0"/>
          <c:tx>
            <c:strRef>
              <c:f>Лист1!$B$90</c:f>
              <c:strCache>
                <c:ptCount val="1"/>
                <c:pt idx="0">
                  <c:v>     Արդյունաբերական արտադրանքի ծավալը</c:v>
                </c:pt>
              </c:strCache>
            </c:strRef>
          </c:tx>
          <c:dLbls>
            <c:dLbl>
              <c:idx val="0"/>
              <c:layout>
                <c:manualLayout>
                  <c:x val="-6.9499092133906745E-2"/>
                  <c:y val="4.4736023835302417E-2"/>
                </c:manualLayout>
              </c:layout>
              <c:showVal val="1"/>
            </c:dLbl>
            <c:dLbl>
              <c:idx val="1"/>
              <c:layout>
                <c:manualLayout>
                  <c:x val="-1.1119854741425083E-2"/>
                  <c:y val="1.6267645031019014E-2"/>
                </c:manualLayout>
              </c:layout>
              <c:showVal val="1"/>
            </c:dLbl>
            <c:dLbl>
              <c:idx val="2"/>
              <c:layout>
                <c:manualLayout>
                  <c:x val="-4.4479418965700263E-2"/>
                  <c:y val="-4.4736023835302355E-2"/>
                </c:manualLayout>
              </c:layout>
              <c:showVal val="1"/>
            </c:dLbl>
            <c:dLbl>
              <c:idx val="3"/>
              <c:layout>
                <c:manualLayout>
                  <c:x val="-8.3398910560688079E-3"/>
                  <c:y val="-3.7279589205756301E-17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Лист1!$C$89:$F$89</c:f>
              <c:strCache>
                <c:ptCount val="4"/>
                <c:pt idx="0">
                  <c:v>2014թ. hունվար</c:v>
                </c:pt>
                <c:pt idx="1">
                  <c:v>2015թ. hունվար</c:v>
                </c:pt>
                <c:pt idx="2">
                  <c:v>2016թ. hունվար</c:v>
                </c:pt>
                <c:pt idx="3">
                  <c:v>2017թ. hունվար</c:v>
                </c:pt>
              </c:strCache>
            </c:strRef>
          </c:cat>
          <c:val>
            <c:numRef>
              <c:f>Лист1!$C$90:$F$90</c:f>
              <c:numCache>
                <c:formatCode>0.00</c:formatCode>
                <c:ptCount val="4"/>
                <c:pt idx="0">
                  <c:v>96.7</c:v>
                </c:pt>
                <c:pt idx="1">
                  <c:v>93.7</c:v>
                </c:pt>
                <c:pt idx="2">
                  <c:v>114.5</c:v>
                </c:pt>
                <c:pt idx="3">
                  <c:v>112.2</c:v>
                </c:pt>
              </c:numCache>
            </c:numRef>
          </c:val>
        </c:ser>
        <c:ser>
          <c:idx val="1"/>
          <c:order val="1"/>
          <c:tx>
            <c:strRef>
              <c:f>Лист1!$B$91</c:f>
              <c:strCache>
                <c:ptCount val="1"/>
                <c:pt idx="0">
                  <c:v>    Գյուղատնտեսության համախառն արտադրանքը</c:v>
                </c:pt>
              </c:strCache>
            </c:strRef>
          </c:tx>
          <c:dLbls>
            <c:dLbl>
              <c:idx val="0"/>
              <c:layout>
                <c:manualLayout>
                  <c:x val="-3.335956422427519E-2"/>
                  <c:y val="-4.0669112577547482E-2"/>
                </c:manualLayout>
              </c:layout>
              <c:showVal val="1"/>
            </c:dLbl>
            <c:dLbl>
              <c:idx val="1"/>
              <c:layout>
                <c:manualLayout>
                  <c:x val="-6.3939164763194112E-2"/>
                  <c:y val="4.0669112577547482E-2"/>
                </c:manualLayout>
              </c:layout>
              <c:showVal val="1"/>
            </c:dLbl>
            <c:dLbl>
              <c:idx val="2"/>
              <c:layout>
                <c:manualLayout>
                  <c:x val="-4.1699455280343967E-2"/>
                  <c:y val="4.4736023835302355E-2"/>
                </c:manualLayout>
              </c:layout>
              <c:showVal val="1"/>
            </c:dLbl>
            <c:dLbl>
              <c:idx val="3"/>
              <c:layout>
                <c:manualLayout>
                  <c:x val="-3.6139527909631479E-2"/>
                  <c:y val="4.066911257754748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Лист1!$C$89:$F$89</c:f>
              <c:strCache>
                <c:ptCount val="4"/>
                <c:pt idx="0">
                  <c:v>2014թ. hունվար</c:v>
                </c:pt>
                <c:pt idx="1">
                  <c:v>2015թ. hունվար</c:v>
                </c:pt>
                <c:pt idx="2">
                  <c:v>2016թ. hունվար</c:v>
                </c:pt>
                <c:pt idx="3">
                  <c:v>2017թ. hունվար</c:v>
                </c:pt>
              </c:strCache>
            </c:strRef>
          </c:cat>
          <c:val>
            <c:numRef>
              <c:f>Лист1!$C$91:$F$91</c:f>
              <c:numCache>
                <c:formatCode>0.00</c:formatCode>
                <c:ptCount val="4"/>
                <c:pt idx="0">
                  <c:v>101.7</c:v>
                </c:pt>
                <c:pt idx="1">
                  <c:v>101.8</c:v>
                </c:pt>
                <c:pt idx="2">
                  <c:v>101.5</c:v>
                </c:pt>
                <c:pt idx="3">
                  <c:v>100.2</c:v>
                </c:pt>
              </c:numCache>
            </c:numRef>
          </c:val>
        </c:ser>
        <c:ser>
          <c:idx val="2"/>
          <c:order val="2"/>
          <c:tx>
            <c:strRef>
              <c:f>Лист1!$B$92</c:f>
              <c:strCache>
                <c:ptCount val="1"/>
                <c:pt idx="0">
                  <c:v>    Իրականացված շինարարության ծավալը</c:v>
                </c:pt>
              </c:strCache>
            </c:strRef>
          </c:tx>
          <c:dLbls>
            <c:dLbl>
              <c:idx val="0"/>
              <c:layout>
                <c:manualLayout>
                  <c:x val="-9.7298728987469399E-2"/>
                  <c:y val="2.0334556288773765E-2"/>
                </c:manualLayout>
              </c:layout>
              <c:showVal val="1"/>
            </c:dLbl>
            <c:dLbl>
              <c:idx val="1"/>
              <c:layout>
                <c:manualLayout>
                  <c:x val="-4.7259382651056545E-2"/>
                  <c:y val="-4.0669112577547482E-2"/>
                </c:manualLayout>
              </c:layout>
              <c:showVal val="1"/>
            </c:dLbl>
            <c:dLbl>
              <c:idx val="2"/>
              <c:layout>
                <c:manualLayout>
                  <c:x val="-3.3359564224275162E-2"/>
                  <c:y val="-4.0669112577547482E-2"/>
                </c:manualLayout>
              </c:layout>
              <c:showVal val="1"/>
            </c:dLbl>
            <c:dLbl>
              <c:idx val="3"/>
              <c:layout>
                <c:manualLayout>
                  <c:x val="-1.945974579749388E-2"/>
                  <c:y val="4.066911257754748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Лист1!$C$89:$F$89</c:f>
              <c:strCache>
                <c:ptCount val="4"/>
                <c:pt idx="0">
                  <c:v>2014թ. hունվար</c:v>
                </c:pt>
                <c:pt idx="1">
                  <c:v>2015թ. hունվար</c:v>
                </c:pt>
                <c:pt idx="2">
                  <c:v>2016թ. hունվար</c:v>
                </c:pt>
                <c:pt idx="3">
                  <c:v>2017թ. hունվար</c:v>
                </c:pt>
              </c:strCache>
            </c:strRef>
          </c:cat>
          <c:val>
            <c:numRef>
              <c:f>Лист1!$C$92:$F$92</c:f>
              <c:numCache>
                <c:formatCode>0.00</c:formatCode>
                <c:ptCount val="4"/>
                <c:pt idx="0">
                  <c:v>99.6</c:v>
                </c:pt>
                <c:pt idx="1">
                  <c:v>102.2</c:v>
                </c:pt>
                <c:pt idx="2">
                  <c:v>105.1</c:v>
                </c:pt>
                <c:pt idx="3">
                  <c:v>94.7</c:v>
                </c:pt>
              </c:numCache>
            </c:numRef>
          </c:val>
        </c:ser>
        <c:dLbls>
          <c:showVal val="1"/>
        </c:dLbls>
        <c:marker val="1"/>
        <c:axId val="81867136"/>
        <c:axId val="81868672"/>
      </c:lineChart>
      <c:catAx>
        <c:axId val="81867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81868672"/>
        <c:crosses val="autoZero"/>
        <c:auto val="1"/>
        <c:lblAlgn val="ctr"/>
        <c:lblOffset val="100"/>
      </c:catAx>
      <c:valAx>
        <c:axId val="81868672"/>
        <c:scaling>
          <c:orientation val="minMax"/>
          <c:max val="120"/>
          <c:min val="80"/>
        </c:scaling>
        <c:axPos val="l"/>
        <c:majorGridlines/>
        <c:numFmt formatCode="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8186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99501357694936"/>
          <c:y val="0.14966201405614196"/>
          <c:w val="0.30733833799761662"/>
          <c:h val="0.79934244129317567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Sheet1!$A$4</c:f>
              <c:strCache>
                <c:ptCount val="1"/>
                <c:pt idx="0">
                  <c:v>     Առևտրի շրջանառությունը նախորդ տարվա նույն ժամանակաշրջանի նկատմամբ (իրական աճը, %)</c:v>
                </c:pt>
              </c:strCache>
            </c:strRef>
          </c:tx>
          <c:dLbls>
            <c:dLbl>
              <c:idx val="0"/>
              <c:layout>
                <c:manualLayout>
                  <c:x val="-3.0555555555555582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0"/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Sheet1!$B$4:$E$4</c:f>
              <c:numCache>
                <c:formatCode>0.00</c:formatCode>
                <c:ptCount val="4"/>
                <c:pt idx="0">
                  <c:v>104.6</c:v>
                </c:pt>
                <c:pt idx="1">
                  <c:v>92.6</c:v>
                </c:pt>
                <c:pt idx="2">
                  <c:v>97.5</c:v>
                </c:pt>
                <c:pt idx="3">
                  <c:v>109.4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     Այլ ծառայություններ նախորդ տարվա նույն ժամանակաշրջանի նկատմամբ (իրական աճը, %)</c:v>
                </c:pt>
              </c:strCache>
            </c:strRef>
          </c:tx>
          <c:dLbls>
            <c:dLbl>
              <c:idx val="0"/>
              <c:layout>
                <c:manualLayout>
                  <c:x val="-4.722222222222229E-2"/>
                  <c:y val="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3.333333333333334E-2"/>
                  <c:y val="-4.629629629629633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0"/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Sheet1!$B$5:$E$5</c:f>
              <c:numCache>
                <c:formatCode>0.00</c:formatCode>
                <c:ptCount val="4"/>
                <c:pt idx="0">
                  <c:v>102.7</c:v>
                </c:pt>
                <c:pt idx="1">
                  <c:v>103.8</c:v>
                </c:pt>
                <c:pt idx="2">
                  <c:v>110.2</c:v>
                </c:pt>
                <c:pt idx="3">
                  <c:v>112.1</c:v>
                </c:pt>
              </c:numCache>
            </c:numRef>
          </c:val>
        </c:ser>
        <c:marker val="1"/>
        <c:axId val="82501632"/>
        <c:axId val="82503168"/>
      </c:lineChart>
      <c:catAx>
        <c:axId val="82501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2503168"/>
        <c:crosses val="autoZero"/>
        <c:auto val="1"/>
        <c:lblAlgn val="ctr"/>
        <c:lblOffset val="100"/>
      </c:catAx>
      <c:valAx>
        <c:axId val="82503168"/>
        <c:scaling>
          <c:orientation val="minMax"/>
          <c:min val="80"/>
        </c:scaling>
        <c:axPos val="l"/>
        <c:majorGridlines/>
        <c:numFmt formatCode="0.00" sourceLinked="1"/>
        <c:majorTickMark val="none"/>
        <c:tickLblPos val="nextTo"/>
        <c:spPr>
          <a:ln w="9525">
            <a:noFill/>
          </a:ln>
        </c:spPr>
        <c:crossAx val="82501632"/>
        <c:crosses val="autoZero"/>
        <c:crossBetween val="between"/>
      </c:valAx>
    </c:plotArea>
    <c:legend>
      <c:legendPos val="b"/>
      <c:legendEntry>
        <c:idx val="1"/>
        <c:txPr>
          <a:bodyPr/>
          <a:lstStyle/>
          <a:p>
            <a:pPr>
              <a:defRPr b="0"/>
            </a:pPr>
            <a:endParaRPr lang="en-US"/>
          </a:p>
        </c:txPr>
      </c:legendEntry>
      <c:legendEntry>
        <c:idx val="0"/>
        <c:txPr>
          <a:bodyPr/>
          <a:lstStyle/>
          <a:p>
            <a:pPr>
              <a:defRPr b="0"/>
            </a:pPr>
            <a:endParaRPr lang="en-US"/>
          </a:p>
        </c:txPr>
      </c:legendEntry>
      <c:layout>
        <c:manualLayout>
          <c:xMode val="edge"/>
          <c:yMode val="edge"/>
          <c:x val="0"/>
          <c:y val="0.78426117648415083"/>
          <c:w val="1"/>
          <c:h val="0.21573882351584914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 b="1" i="0" baseline="0">
                <a:latin typeface="GHEA Grapalat" pitchFamily="50" charset="0"/>
              </a:rPr>
              <a:t>Սպառողական գների ինդեքսը</a:t>
            </a:r>
            <a:r>
              <a:rPr lang="en-US" sz="900" b="1" i="0" baseline="0">
                <a:latin typeface="GHEA Grapalat" pitchFamily="50" charset="0"/>
              </a:rPr>
              <a:t> (%)</a:t>
            </a:r>
            <a:r>
              <a:rPr lang="hy-AM" sz="900" b="1" i="0" baseline="0">
                <a:latin typeface="GHEA Grapalat" pitchFamily="50" charset="0"/>
              </a:rPr>
              <a:t> </a:t>
            </a:r>
            <a:endParaRPr lang="en-US" sz="9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9919072615923005E-2"/>
          <c:y val="0.14839129483814542"/>
          <c:w val="0.59459470691163518"/>
          <c:h val="0.80020815106445031"/>
        </c:manualLayout>
      </c:layout>
      <c:lineChart>
        <c:grouping val="standard"/>
        <c:ser>
          <c:idx val="0"/>
          <c:order val="0"/>
          <c:tx>
            <c:strRef>
              <c:f>Лист1!$B$118</c:f>
              <c:strCache>
                <c:ptCount val="1"/>
                <c:pt idx="0">
                  <c:v>     նախորդ տարվա նույն ժամանակաշրջանի նկատմամբ</c:v>
                </c:pt>
              </c:strCache>
            </c:strRef>
          </c:tx>
          <c:dLbls>
            <c:dLbl>
              <c:idx val="1"/>
              <c:layout>
                <c:manualLayout>
                  <c:x val="-8.339891056068807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2239709482850173E-2"/>
                  <c:y val="-6.5432107908880696E-2"/>
                </c:manualLayout>
              </c:layout>
              <c:showVal val="1"/>
            </c:dLbl>
            <c:dLbl>
              <c:idx val="3"/>
              <c:layout>
                <c:manualLayout>
                  <c:x val="-5.559927370712538E-3"/>
                  <c:y val="1.226852023291513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Лист1!$C$117:$F$117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Лист1!$C$118:$F$118</c:f>
              <c:numCache>
                <c:formatCode>0.0</c:formatCode>
                <c:ptCount val="4"/>
                <c:pt idx="0">
                  <c:v>5.5</c:v>
                </c:pt>
                <c:pt idx="1">
                  <c:v>4.3</c:v>
                </c:pt>
                <c:pt idx="2">
                  <c:v>-0.4</c:v>
                </c:pt>
                <c:pt idx="3">
                  <c:v>-0.60000000000000031</c:v>
                </c:pt>
              </c:numCache>
            </c:numRef>
          </c:val>
        </c:ser>
        <c:ser>
          <c:idx val="1"/>
          <c:order val="1"/>
          <c:tx>
            <c:strRef>
              <c:f>Лист1!$B$119</c:f>
              <c:strCache>
                <c:ptCount val="1"/>
                <c:pt idx="0">
                  <c:v>     ժամանակաշրջանի վերջին ամիսը նախորդ տարվա դեկտեմբերի նկատմամբ</c:v>
                </c:pt>
              </c:strCache>
            </c:strRef>
          </c:tx>
          <c:dLbls>
            <c:dLbl>
              <c:idx val="0"/>
              <c:layout>
                <c:manualLayout>
                  <c:x val="-3.8919491594987775E-2"/>
                  <c:y val="4.9074080931660505E-2"/>
                </c:manualLayout>
              </c:layout>
              <c:showVal val="1"/>
            </c:dLbl>
            <c:dLbl>
              <c:idx val="1"/>
              <c:layout>
                <c:manualLayout>
                  <c:x val="-5.2819310021769102E-2"/>
                  <c:y val="3.27160539544403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Лист1!$C$117:$F$117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Лист1!$C$119:$F$119</c:f>
              <c:numCache>
                <c:formatCode>0.0</c:formatCode>
                <c:ptCount val="4"/>
                <c:pt idx="0" formatCode="0.00">
                  <c:v>2.8</c:v>
                </c:pt>
                <c:pt idx="1">
                  <c:v>2.5</c:v>
                </c:pt>
                <c:pt idx="2">
                  <c:v>2.2000000000000002</c:v>
                </c:pt>
                <c:pt idx="3">
                  <c:v>2.6</c:v>
                </c:pt>
              </c:numCache>
            </c:numRef>
          </c:val>
        </c:ser>
        <c:dLbls>
          <c:showVal val="1"/>
        </c:dLbls>
        <c:marker val="1"/>
        <c:axId val="86800640"/>
        <c:axId val="87158784"/>
      </c:lineChart>
      <c:catAx>
        <c:axId val="868006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87158784"/>
        <c:crosses val="autoZero"/>
        <c:auto val="1"/>
        <c:lblAlgn val="ctr"/>
        <c:lblOffset val="100"/>
      </c:catAx>
      <c:valAx>
        <c:axId val="8715878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86800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0714691451394"/>
          <c:y val="0.15477333989371794"/>
          <c:w val="0.28604177602799652"/>
          <c:h val="0.79400188503720326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>
                <a:latin typeface="GHEA Grapalat" pitchFamily="50" charset="0"/>
              </a:rPr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Лист1!$B$148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Лист1!$C$147:$F$147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Лист1!$C$148:$F$148</c:f>
              <c:numCache>
                <c:formatCode>#,##0.00</c:formatCode>
                <c:ptCount val="4"/>
                <c:pt idx="0">
                  <c:v>601856</c:v>
                </c:pt>
                <c:pt idx="1">
                  <c:v>346451</c:v>
                </c:pt>
                <c:pt idx="2">
                  <c:v>484932</c:v>
                </c:pt>
                <c:pt idx="3">
                  <c:v>610057</c:v>
                </c:pt>
              </c:numCache>
            </c:numRef>
          </c:val>
        </c:ser>
        <c:dLbls>
          <c:showVal val="1"/>
        </c:dLbls>
        <c:overlap val="-25"/>
        <c:axId val="105132032"/>
        <c:axId val="105133568"/>
      </c:barChart>
      <c:catAx>
        <c:axId val="1051320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05133568"/>
        <c:crosses val="autoZero"/>
        <c:auto val="1"/>
        <c:lblAlgn val="ctr"/>
        <c:lblOffset val="100"/>
      </c:catAx>
      <c:valAx>
        <c:axId val="105133568"/>
        <c:scaling>
          <c:orientation val="minMax"/>
        </c:scaling>
        <c:delete val="1"/>
        <c:axPos val="l"/>
        <c:numFmt formatCode="#,##0.00" sourceLinked="1"/>
        <c:tickLblPos val="nextTo"/>
        <c:crossAx val="10513203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en-US" sz="900" b="1" i="0" baseline="0">
                <a:latin typeface="GHEA Grapalat" pitchFamily="50" charset="0"/>
              </a:rPr>
              <a:t>ՀՀ արտաքին առևտրաշրջանառությունը և առևտրի հաշվեկշիռը 2014-2017թթ. հունվարին (մլն ԱՄՆ դոլար)</a:t>
            </a:r>
            <a:endParaRPr lang="ru-RU" sz="9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228073036431751"/>
          <c:y val="0.18831826390477871"/>
          <c:w val="0.56372410064344181"/>
          <c:h val="0.7641661109214628"/>
        </c:manualLayout>
      </c:layout>
      <c:lineChart>
        <c:grouping val="standard"/>
        <c:ser>
          <c:idx val="0"/>
          <c:order val="0"/>
          <c:tx>
            <c:strRef>
              <c:f>Sheet1!$A$4</c:f>
              <c:strCache>
                <c:ptCount val="1"/>
                <c:pt idx="0">
                  <c:v>Արտաքին առևտրաշրջանառության ծավալը</c:v>
                </c:pt>
              </c:strCache>
            </c:strRef>
          </c:tx>
          <c:dLbls>
            <c:dLbl>
              <c:idx val="1"/>
              <c:layout>
                <c:manualLayout>
                  <c:x val="-1.945974579749388E-2"/>
                  <c:y val="-3.8517439166540608E-2"/>
                </c:manualLayout>
              </c:layout>
              <c:showVal val="1"/>
            </c:dLbl>
            <c:dLbl>
              <c:idx val="3"/>
              <c:layout>
                <c:manualLayout>
                  <c:x val="-6.1159201077837885E-2"/>
                  <c:y val="-5.135658555538741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 </c:v>
                </c:pt>
              </c:strCache>
            </c:strRef>
          </c:cat>
          <c:val>
            <c:numRef>
              <c:f>Sheet1!$B$4:$E$4</c:f>
              <c:numCache>
                <c:formatCode>#,##0.00</c:formatCode>
                <c:ptCount val="4"/>
                <c:pt idx="0">
                  <c:v>391.74</c:v>
                </c:pt>
                <c:pt idx="1">
                  <c:v>281.22000000000003</c:v>
                </c:pt>
                <c:pt idx="2">
                  <c:v>246.46</c:v>
                </c:pt>
                <c:pt idx="3">
                  <c:v>358.7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Առևտրի հաշվեկշիռը</c:v>
                </c:pt>
              </c:strCache>
            </c:strRef>
          </c:tx>
          <c:dLbls>
            <c:dLbl>
              <c:idx val="0"/>
              <c:layout>
                <c:manualLayout>
                  <c:x val="-3.0579600538918957E-2"/>
                  <c:y val="3.4237723703591641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1.6679782112137605E-2"/>
                  <c:y val="5.1356585555387468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-5.8379237392481645E-2"/>
                  <c:y val="5.9915679495815846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-2.2239709482850173E-2"/>
                  <c:y val="3.851743916654058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lang="ru-RU" sz="800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 </c:v>
                </c:pt>
              </c:strCache>
            </c:strRef>
          </c:cat>
          <c:val>
            <c:numRef>
              <c:f>Sheet1!$B$5:$E$5</c:f>
              <c:numCache>
                <c:formatCode>#,##0.00</c:formatCode>
                <c:ptCount val="4"/>
                <c:pt idx="0">
                  <c:v>-197.96</c:v>
                </c:pt>
                <c:pt idx="1">
                  <c:v>-112.31</c:v>
                </c:pt>
                <c:pt idx="2">
                  <c:v>-66.98</c:v>
                </c:pt>
                <c:pt idx="3">
                  <c:v>-115.8</c:v>
                </c:pt>
              </c:numCache>
            </c:numRef>
          </c:val>
        </c:ser>
        <c:dLbls>
          <c:showVal val="1"/>
        </c:dLbls>
        <c:marker val="1"/>
        <c:axId val="105508864"/>
        <c:axId val="105510400"/>
      </c:lineChart>
      <c:catAx>
        <c:axId val="1055088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05510400"/>
        <c:crosses val="autoZero"/>
        <c:auto val="1"/>
        <c:lblAlgn val="ctr"/>
        <c:lblOffset val="100"/>
      </c:catAx>
      <c:valAx>
        <c:axId val="10551040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550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44490363704615"/>
          <c:y val="0.19856700298939822"/>
          <c:w val="0.28287531425081641"/>
          <c:h val="0.73510886484085691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16</cp:revision>
  <cp:lastPrinted>2016-11-04T06:40:00Z</cp:lastPrinted>
  <dcterms:created xsi:type="dcterms:W3CDTF">2016-12-12T06:11:00Z</dcterms:created>
  <dcterms:modified xsi:type="dcterms:W3CDTF">2017-03-06T08:06:00Z</dcterms:modified>
</cp:coreProperties>
</file>